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СОГЛАСИЕ НА ЗАПРОС ДАННЫХ (ПОЛУЧЕНИЕ КРЕДИТНОГО ОТЧЕТА) В БЮРО КРЕДИТНЫХ ИСТОРИЙ И НА ОБРАБОТКУ ПЕРСОНАЛЬНЫХ ДАННЫХ</w:t>
      </w:r>
      <w:r>
        <w:rPr>
          <w:b/>
          <w:bCs/>
          <w:i/>
          <w:iCs/>
          <w:color w:val="000000"/>
          <w:sz w:val="24"/>
          <w:szCs w:val="24"/>
        </w:rPr>
      </w:r>
    </w:p>
    <w:p>
      <w:pPr>
        <w:jc w:val="both"/>
      </w:pPr>
    </w:p>
    <w:p>
      <w:pPr>
        <w:jc w:val="both"/>
        <w:rPr>
          <w:i/>
        </w:rPr>
      </w:pPr>
      <w:r>
        <w:rPr>
          <w:i/>
        </w:rPr>
        <w:t xml:space="preserve">Данная форма Согласия применяется только по продукт</w:t>
      </w:r>
      <w:r>
        <w:rPr>
          <w:i/>
        </w:rPr>
        <w:t xml:space="preserve">ам факторинга</w:t>
      </w:r>
      <w:r>
        <w:rPr>
          <w:i/>
        </w:rPr>
        <w:t xml:space="preserve"> </w:t>
      </w:r>
      <w:r>
        <w:rPr>
          <w:i/>
        </w:rPr>
        <w:t xml:space="preserve">для</w:t>
      </w:r>
      <w:r>
        <w:rPr>
          <w:i/>
        </w:rPr>
        <w:t xml:space="preserve"> физических </w:t>
      </w:r>
      <w:r>
        <w:rPr>
          <w:i/>
        </w:rPr>
        <w:t xml:space="preserve">лиц, </w:t>
      </w:r>
      <w:r>
        <w:rPr>
          <w:i/>
        </w:rPr>
        <w:t xml:space="preserve">индивидуальных</w:t>
      </w:r>
      <w:r>
        <w:rPr>
          <w:i/>
        </w:rPr>
        <w:t xml:space="preserve"> предпринимателей, бенефициаров </w:t>
      </w:r>
      <w:r>
        <w:rPr>
          <w:i/>
        </w:rPr>
        <w:t xml:space="preserve">клиентов </w:t>
      </w:r>
      <w:r>
        <w:rPr>
          <w:i/>
        </w:rPr>
        <w:t xml:space="preserve">– юридических лиц</w:t>
      </w:r>
      <w:r>
        <w:rPr>
          <w:i/>
        </w:rPr>
        <w:t xml:space="preserve">.</w:t>
      </w:r>
      <w:r>
        <w:rPr>
          <w:i/>
        </w:rPr>
      </w:r>
    </w:p>
    <w:p>
      <w:pPr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jc w:val="both"/>
      </w:pPr>
      <w:r>
        <w:t xml:space="preserve">Дата: ____________</w:t>
      </w:r>
    </w:p>
    <w:p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2336"/>
        <w:gridCol w:w="2317"/>
        <w:gridCol w:w="2337"/>
      </w:tblGrid>
      <w:tr>
        <w:trPr/>
        <w:tblPrEx/>
        <w:tc>
          <w:tcPr>
            <w:tcW w:w="2079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Настоящим я,</w:t>
            </w:r>
            <w:r>
              <w:rPr>
                <w:i/>
              </w:rPr>
              <w:t xml:space="preserve"> 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  <w:tc>
          <w:tcPr>
            <w:tcW w:w="231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, дата рождения</w:t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</w:t>
            </w:r>
          </w:p>
        </w:tc>
      </w:tr>
      <w:tr>
        <w:trPr/>
        <w:tblPrEx/>
        <w:tc>
          <w:tcPr>
            <w:tcW w:w="2079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место рождения:</w:t>
            </w:r>
          </w:p>
        </w:tc>
        <w:tc>
          <w:tcPr>
            <w:tcW w:w="6990" w:type="dxa"/>
            <w:gridSpan w:val="3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________________________________________________________</w:t>
            </w:r>
          </w:p>
        </w:tc>
      </w:tr>
      <w:tr>
        <w:trPr/>
        <w:tblPrEx/>
        <w:tc>
          <w:tcPr>
            <w:tcW w:w="2079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color w:val="000000"/>
              </w:rPr>
              <w:t xml:space="preserve">адрес регистрации:</w:t>
            </w:r>
          </w:p>
        </w:tc>
        <w:tc>
          <w:tcPr>
            <w:tcW w:w="6990" w:type="dxa"/>
            <w:gridSpan w:val="3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________________________________________________________</w:t>
            </w:r>
          </w:p>
        </w:tc>
      </w:tr>
      <w:tr>
        <w:trPr/>
        <w:tblPrEx/>
        <w:tc>
          <w:tcPr>
            <w:tcW w:w="2079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паспортные данные: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  <w:tc>
          <w:tcPr>
            <w:tcW w:w="231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дата выдачи</w:t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</w:tr>
      <w:tr>
        <w:trPr/>
        <w:tblPrEx/>
        <w:tc>
          <w:tcPr>
            <w:tcW w:w="2079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выдан: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  <w:tc>
          <w:tcPr>
            <w:tcW w:w="231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код подразделения</w:t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</w:tr>
      <w:tr>
        <w:trPr/>
        <w:tblPrEx/>
        <w:tc>
          <w:tcPr>
            <w:tcW w:w="2079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ИНН: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  <w:tc>
          <w:tcPr>
            <w:tcW w:w="231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color w:val="000000"/>
              </w:rPr>
              <w:t xml:space="preserve">контактный телефон:</w:t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</w:tr>
      <w:tr>
        <w:trPr/>
        <w:tblPrEx/>
        <w:tc>
          <w:tcPr>
            <w:tcW w:w="2079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color w:val="000000"/>
              </w:rPr>
              <w:t xml:space="preserve">e-mail: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  <w:tc>
          <w:tcPr>
            <w:tcW w:w="2317" w:type="dxa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доп. </w:t>
            </w:r>
            <w:r>
              <w:rPr>
                <w:color w:val="000000"/>
              </w:rPr>
              <w:t xml:space="preserve">т</w:t>
            </w:r>
            <w:r>
              <w:rPr>
                <w:color w:val="000000"/>
              </w:rPr>
              <w:t xml:space="preserve">елефон:</w:t>
            </w:r>
            <w:r>
              <w:rPr>
                <w:color w:val="000000"/>
              </w:rPr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</w:tr>
      <w:tr>
        <w:trPr/>
        <w:tblPrEx/>
        <w:tc>
          <w:tcPr>
            <w:tcW w:w="2079" w:type="dxa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ОГРИП </w:t>
            </w:r>
            <w:r>
              <w:rPr>
                <w:i/>
                <w:color w:val="000000"/>
              </w:rPr>
              <w:t xml:space="preserve">(если применимо)</w:t>
            </w:r>
            <w:r>
              <w:rPr>
                <w:color w:val="000000"/>
              </w:rPr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r>
          </w:p>
        </w:tc>
        <w:tc>
          <w:tcPr>
            <w:tcW w:w="2317" w:type="dxa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  <w:t xml:space="preserve">(далее – Субъект кредитной истории), </w:t>
      </w:r>
      <w:r>
        <w:rPr>
          <w:color w:val="000000"/>
        </w:rPr>
        <w:t xml:space="preserve">заявляю </w:t>
      </w:r>
      <w:r>
        <w:rPr>
          <w:color w:val="000000"/>
        </w:rPr>
        <w:t xml:space="preserve">ООО </w:t>
      </w:r>
      <w:r>
        <w:rPr>
          <w:color w:val="000000"/>
        </w:rPr>
        <w:t xml:space="preserve">«</w:t>
      </w:r>
      <w:r>
        <w:rPr>
          <w:color w:val="000000"/>
        </w:rPr>
        <w:t xml:space="preserve">ФК Бизнес Актив</w:t>
      </w:r>
      <w:r>
        <w:rPr>
          <w:color w:val="000000"/>
        </w:rPr>
        <w:t xml:space="preserve">» (ОГРН </w:t>
      </w:r>
      <w:r>
        <w:rPr>
          <w:color w:val="000000"/>
        </w:rPr>
        <w:t xml:space="preserve">1105042007806</w:t>
      </w:r>
      <w:r>
        <w:rPr>
          <w:color w:val="000000"/>
        </w:rPr>
        <w:t xml:space="preserve">, адрес: </w:t>
      </w:r>
      <w:r>
        <w:rPr>
          <w:color w:val="000000"/>
        </w:rPr>
      </w:r>
      <w:r>
        <w:t xml:space="preserve">101000, РФ, г. Москва, ул. Маросейка, д.9/2, стр.1, помещ. 1/П</w:t>
      </w:r>
      <w:r>
        <w:rPr>
          <w:color w:val="000000"/>
        </w:rPr>
      </w:r>
      <w:r>
        <w:rPr>
          <w:color w:val="000000"/>
        </w:rPr>
        <w:t xml:space="preserve">) (далее – </w:t>
      </w:r>
      <w:r>
        <w:rPr>
          <w:color w:val="000000"/>
        </w:rPr>
        <w:t xml:space="preserve">Компания</w:t>
      </w:r>
      <w:r>
        <w:rPr>
          <w:color w:val="000000"/>
        </w:rPr>
        <w:t xml:space="preserve">)</w:t>
      </w:r>
      <w:r>
        <w:rPr>
          <w:color w:val="000000"/>
        </w:rPr>
        <w:t xml:space="preserve"> </w:t>
      </w:r>
      <w:r>
        <w:rPr>
          <w:color w:val="000000"/>
        </w:rPr>
        <w:t xml:space="preserve">о своем согласии с </w:t>
      </w:r>
      <w:r>
        <w:rPr>
          <w:color w:val="000000"/>
        </w:rPr>
        <w:t xml:space="preserve">нижеследующим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1.</w:t>
      </w:r>
      <w:r>
        <w:rPr>
          <w:color w:val="000000"/>
        </w:rPr>
        <w:t xml:space="preserve">Настоящим Субъект кредитной истории в соответствии с Федеральным законом от 30</w:t>
      </w:r>
      <w:r>
        <w:rPr>
          <w:color w:val="000000"/>
        </w:rPr>
        <w:t xml:space="preserve"> декабря </w:t>
      </w:r>
      <w:r>
        <w:rPr>
          <w:color w:val="000000"/>
        </w:rPr>
        <w:t xml:space="preserve">2004</w:t>
      </w:r>
      <w:r>
        <w:rPr>
          <w:color w:val="000000"/>
        </w:rPr>
        <w:t xml:space="preserve"> г.</w:t>
      </w:r>
      <w:r>
        <w:rPr>
          <w:color w:val="000000"/>
        </w:rPr>
        <w:t xml:space="preserve"> № 218-ФЗ «О кредитных историях» предоставляет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, а также его правопреемникам, </w:t>
      </w:r>
      <w:r>
        <w:rPr>
          <w:b/>
          <w:bCs/>
          <w:i/>
          <w:iCs/>
          <w:color w:val="000000"/>
        </w:rPr>
        <w:t xml:space="preserve">согласие </w:t>
      </w:r>
      <w:r>
        <w:rPr>
          <w:color w:val="000000"/>
        </w:rPr>
        <w:t xml:space="preserve">на запрос данных (получение кредитного отчета)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отношении Субъекта кредитной истории в бюро кредитных историй в любых целях, включая</w:t>
      </w:r>
      <w:r>
        <w:rPr>
          <w:color w:val="000000"/>
        </w:rPr>
        <w:t xml:space="preserve">,</w:t>
      </w:r>
      <w:r>
        <w:rPr>
          <w:lang w:eastAsia="zh-CN"/>
        </w:rPr>
        <w:t xml:space="preserve"> </w:t>
      </w:r>
      <w:r>
        <w:rPr>
          <w:lang w:eastAsia="zh-CN"/>
        </w:rPr>
        <w:t xml:space="preserve">но, не ограничиваясь</w:t>
      </w:r>
      <w:r>
        <w:rPr>
          <w:color w:val="000000"/>
        </w:rPr>
        <w:t xml:space="preserve"> следующи</w:t>
      </w:r>
      <w:r>
        <w:rPr>
          <w:color w:val="000000"/>
        </w:rPr>
        <w:t xml:space="preserve">е</w:t>
      </w:r>
      <w:r>
        <w:rPr>
          <w:color w:val="000000"/>
        </w:rPr>
        <w:t xml:space="preserve"> цел</w:t>
      </w:r>
      <w:r>
        <w:rPr>
          <w:color w:val="000000"/>
        </w:rPr>
        <w:t xml:space="preserve">и</w:t>
      </w:r>
      <w:r>
        <w:rPr>
          <w:color w:val="000000"/>
        </w:rPr>
        <w:t xml:space="preserve">: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принятие решения о возможности заключения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изменения любых договоров между Субъектом кредитной истории и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</w:t>
      </w:r>
      <w:r>
        <w:rPr>
          <w:color w:val="000000"/>
        </w:rPr>
        <w:t xml:space="preserve"> (</w:t>
      </w:r>
      <w:r>
        <w:rPr>
          <w:color w:val="000000"/>
        </w:rPr>
        <w:t xml:space="preserve">или</w:t>
      </w:r>
      <w:r>
        <w:rPr>
          <w:color w:val="000000"/>
        </w:rPr>
        <w:t xml:space="preserve">)</w:t>
      </w:r>
      <w:r>
        <w:rPr>
          <w:color w:val="000000"/>
        </w:rPr>
        <w:t xml:space="preserve"> между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 лицами, связанными с Субъектом кредитной истории, включая юридических лиц, в состав органов управления которых входит Субъект кредитной истории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является Субъект кредитной истории, а также включая супругов и родственников Субъекта кредитной истории;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проведение финансового анализа, оценки платежеспособности, наличия и размера задолженности Субъекта кредитной истории перед третьими лицами, в том числе для формирования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предложений о предоставлении </w:t>
      </w:r>
      <w:r>
        <w:rPr>
          <w:color w:val="000000"/>
        </w:rPr>
        <w:t xml:space="preserve">факторинговых</w:t>
      </w:r>
      <w:r>
        <w:rPr>
          <w:color w:val="000000"/>
        </w:rPr>
        <w:t xml:space="preserve"> продуктов.</w:t>
      </w:r>
      <w:r>
        <w:rPr>
          <w:color w:val="000000"/>
        </w:rPr>
      </w:r>
    </w:p>
    <w:p>
      <w:pPr>
        <w:pStyle w:val="768"/>
        <w:jc w:val="both"/>
        <w:rPr>
          <w:color w:val="000000"/>
        </w:rPr>
      </w:pPr>
      <w:r>
        <w:rPr>
          <w:color w:val="000000"/>
        </w:rPr>
        <w:t xml:space="preserve">2. В соответствии с Федеральным законом от 27</w:t>
      </w:r>
      <w:r>
        <w:rPr>
          <w:color w:val="000000"/>
        </w:rPr>
        <w:t xml:space="preserve"> июля 20</w:t>
      </w:r>
      <w:r>
        <w:rPr>
          <w:color w:val="000000"/>
        </w:rPr>
        <w:t xml:space="preserve">06 </w:t>
      </w:r>
      <w:r>
        <w:rPr>
          <w:color w:val="000000"/>
        </w:rPr>
        <w:t xml:space="preserve">г. </w:t>
      </w:r>
      <w:r>
        <w:rPr>
          <w:color w:val="000000"/>
        </w:rPr>
        <w:t xml:space="preserve">№ 152-ФЗ «О персональных данных»  </w:t>
      </w:r>
      <w:r>
        <w:rPr>
          <w:color w:val="000000"/>
        </w:rPr>
        <w:t xml:space="preserve">я, Субъект кредитной истории, </w:t>
      </w:r>
      <w:r>
        <w:rPr>
          <w:color w:val="000000"/>
        </w:rPr>
        <w:t xml:space="preserve">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согласие</w:t>
      </w:r>
      <w:r>
        <w:rPr>
          <w:color w:val="000000"/>
        </w:rPr>
        <w:t xml:space="preserve"> на осуществление со всеми персональными данными, указанными </w:t>
      </w:r>
      <w:r>
        <w:rPr>
          <w:color w:val="000000"/>
        </w:rPr>
        <w:t xml:space="preserve">мной </w:t>
      </w:r>
      <w:r>
        <w:rPr>
          <w:color w:val="000000"/>
        </w:rPr>
        <w:t xml:space="preserve">в настоящем Согласии, а также в представленных </w:t>
      </w:r>
      <w:r>
        <w:rPr>
          <w:color w:val="000000"/>
        </w:rPr>
        <w:t xml:space="preserve">мной </w:t>
      </w:r>
      <w:r>
        <w:rPr>
          <w:color w:val="000000"/>
        </w:rPr>
        <w:t xml:space="preserve">в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документах, следующей обработки: сбор, запись, систематизация, накопление, уточнение (обновление, изменение), извлечение, использование, передача (распространен</w:t>
      </w:r>
      <w:r>
        <w:rPr>
          <w:color w:val="000000"/>
        </w:rPr>
        <w:t xml:space="preserve">ие, предоставление, доступ (в том числе при поручении обработки персональных данных третьим лицам), обезличивание, блокирование, удаление, уничтожение, хранение и перевозка (в том числе при поручении хранения и перевозки третьим лицам) (далее – обработка).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Я уведомлен и согласен с тем, что обработка персональных данных осуществляется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(и уполномоченными лицами) на бумажных и электронных носителях с использованием и без использования средств автоматизации. При этом целями предоставления и обработки персональных данных являются в том числе: принятие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решения о предоставлении кредитного или иного продукта, в том числе путем автоматизированной обработки персональных данных; получение заключений, консультаций в любой форме, касающихся принятия указанного решения, исполнения договоров, заключенных с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мною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лицами, связанными со мною, включая юридических лиц, в состав органов управления которых я вхожу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являюсь, а также включая моего (-ю) супруга (-у) и родственников (далее – Договор); проверка достоверности сведений, указанных мной при обращении в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и в предоставленных документах; совершение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сделок в связи с реализацией прав кредитора по Договору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обеспечению (включая уступку прав (требований по Договору) третьим лицам, в том числе не имеющим лицензии н</w:t>
      </w:r>
      <w:r>
        <w:rPr>
          <w:color w:val="000000"/>
        </w:rPr>
        <w:t xml:space="preserve">а осуществление банковских операций, также путем публичного размещения информации о возможности указанной уступки); истребование (погашение, взыскание) задолженности по Договору; хранение и перевозка документов, содержащих персональные данные,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данных  в любые бюро кредитных историй во исполнение договоров оказания услуг, заключенных с такими бюро кредитных историй</w:t>
      </w:r>
      <w:r>
        <w:rPr>
          <w:color w:val="000000"/>
        </w:rPr>
        <w:t xml:space="preserve">, </w:t>
      </w:r>
      <w:r>
        <w:rPr>
          <w:color w:val="000000"/>
        </w:rPr>
        <w:t xml:space="preserve">для разработки на их основе оценочных (скоринговых) методик вычисления индивидуальных рейтингов и (или) их использования (методик оценки кредитоспособности).</w:t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  <w:t xml:space="preserve">Настоящим 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согласие </w:t>
      </w:r>
      <w:r>
        <w:rPr>
          <w:color w:val="000000"/>
        </w:rPr>
        <w:t xml:space="preserve">на обработку персональных данных, указанных </w:t>
      </w:r>
      <w:r>
        <w:rPr>
          <w:color w:val="000000"/>
        </w:rPr>
        <w:t xml:space="preserve">мной </w:t>
      </w:r>
      <w:r>
        <w:rPr>
          <w:color w:val="000000"/>
        </w:rPr>
        <w:t xml:space="preserve">в настоящем Согласии, а также в представленных </w:t>
      </w:r>
      <w:r>
        <w:rPr>
          <w:color w:val="000000"/>
        </w:rPr>
        <w:t xml:space="preserve">мной </w:t>
      </w:r>
      <w:r>
        <w:rPr>
          <w:color w:val="000000"/>
        </w:rPr>
        <w:t xml:space="preserve">документах в целях продвижения на рынке услуг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путем осуществления со мной прямых контактов с помощью средств связи. </w:t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  <w:t xml:space="preserve">Настоящее согласие на обработку персональных данных действует до полного исполнения обязательств по Договору перед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случае заключения такого Договора, а также в течение последующих 5 (пяти) лет, либо в течение 5 (пяти) лет с даты принятия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отрицательного решения по вопросу заключения Договора. По истечении указанного срока действие согласия считается продленным на каждые следующие 5 (Пять) лет при условии отсутствия у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сведений о его отзыве мной. В случае отзыва мной согласия уполномочиваю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уничтожить мои персональные данные, за исключением</w:t>
      </w:r>
      <w:r>
        <w:rPr>
          <w:color w:val="000000"/>
        </w:rPr>
        <w:t xml:space="preserve"> </w:t>
      </w:r>
      <w:r>
        <w:rPr>
          <w:color w:val="000000"/>
        </w:rPr>
        <w:t xml:space="preserve">персональных данных, дальнейшая обработка которых является обязанностью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, установленной законодательством Российской Федерации.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3. В случае указания в предоставленных в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документах сведений о моем(-ей) супруге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иных лицах, подтверждаю, что мной получено их согласие на обработку мной (включая передачу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) и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их персональных данных, им сообщена вся информация в соответствии с требованиями Федерального закона от 27</w:t>
      </w:r>
      <w:r>
        <w:rPr>
          <w:color w:val="000000"/>
        </w:rPr>
        <w:t xml:space="preserve"> июля 20</w:t>
      </w:r>
      <w:r>
        <w:rPr>
          <w:color w:val="000000"/>
        </w:rPr>
        <w:t xml:space="preserve">06 </w:t>
      </w:r>
      <w:r>
        <w:rPr>
          <w:color w:val="000000"/>
        </w:rPr>
        <w:t xml:space="preserve">г.</w:t>
      </w:r>
      <w:r>
        <w:rPr>
          <w:color w:val="000000"/>
        </w:rPr>
        <w:t xml:space="preserve"> № 152-ФЗ «О персональных данных». Настоящим поручаю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осуществлять обработку предоставленных персональных данных указанных лиц, в т.ч. с целью осуществления с ними контактов по вопросам, связанным с принятием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решения о предоставлении кредитного или иного продукта, в том числе путем автоматизированной обработки персональных данных; получением заключений, консультаций в любой форме, касающихся принятия указанного решения, исполнения договоров, заключенных с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мною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лицами, связанными со мною, включая юридических лиц, в состав органов управления которых я вхожу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являюсь, а также включая моего (-ю) супруга (-у) и родственников (далее – Договор); проверкой достоверности сведений, указанных мной при обращении в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и в предоставленных документах; совершением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сделок в связи с реализацией прав кредитора по Договору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обеспечению (включая уступку прав (требований по Договору) третьим лицам, в том числе не имеющим лицензии на осу</w:t>
      </w:r>
      <w:r>
        <w:rPr>
          <w:color w:val="000000"/>
        </w:rPr>
        <w:t xml:space="preserve">ществление банковских операций, также путем публичного размещения информации о возможности указанной уступки); истребованием (погашением, взысканием) задолженности по Договору; хранением и перевозкой документов, содержащих персональные данные,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данных в любые бюро кредитных историй во ис</w:t>
      </w:r>
      <w:r>
        <w:rPr>
          <w:color w:val="000000"/>
        </w:rPr>
        <w:t xml:space="preserve">полнение договоров оказания услуг, заключенных с такими бюро кредитных историй, для разработки на их основе оценочных (скоринговых) методик вычисления индивидуальных рейтингов и (или) их использования (методик оценки кредитоспособности), для чего обязываю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обеспечивать и соблюдать режим конфиденциальности и безопасности в отношении предоставленных персональных данных при их обработке, требования к защите персональных данных в соответствии с законодательством Российской Федерации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4. Настоящим также 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(его работникам), третьим лицам, привлекаемым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, согласие на передачу информации и обработку персональных данных в целях передачи информации, касающейся заключения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изменения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исполнения</w:t>
      </w:r>
      <w:r>
        <w:rPr>
          <w:color w:val="000000"/>
        </w:rPr>
        <w:t xml:space="preserve"> и </w:t>
      </w:r>
      <w:r>
        <w:rPr>
          <w:color w:val="000000"/>
        </w:rPr>
        <w:t xml:space="preserve">прекращения Договора, а также передаваемой в целях продвижения услуг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путем</w:t>
      </w:r>
      <w:bookmarkStart w:id="0" w:name="_GoBack"/>
      <w:bookmarkEnd w:id="0"/>
      <w:r>
        <w:rPr>
          <w:color w:val="000000"/>
        </w:rPr>
        <w:t xml:space="preserve"> осуществления прямых контактов со мной с помощью средств связи (включая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SMS-сообщений на сообщаемые мной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номера мобильных телефонов, передачу по сетям электросвязи, в т.ч. с использованием телефонной, факсимильной, подвижной радиотелефонной связи, сетей связи "Интернет"), в т.ч. на передачу данных (предоставление, доступ) третьим лицам, привлекаемым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указанных целях для передачи информации. Срок действия настоящего согласия: 15 лет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_______________________________________________________ /____________________/</w:t>
      </w:r>
      <w:r>
        <w:rPr>
          <w:color w:val="000000"/>
          <w:lang w:eastAsia="ru-RU"/>
        </w:rPr>
      </w:r>
    </w:p>
    <w:p>
      <w:pPr>
        <w:jc w:val="both"/>
        <w:rPr>
          <w:color w:val="000000"/>
        </w:rPr>
      </w:pPr>
      <w:r>
        <w:rPr>
          <w:i/>
          <w:iCs/>
          <w:color w:val="0000ff"/>
          <w:lang w:eastAsia="ru-RU"/>
        </w:rPr>
        <w:t xml:space="preserve">(Ф.И.О. полностью) </w:t>
      </w:r>
      <w:r>
        <w:rPr>
          <w:i/>
          <w:iCs/>
          <w:color w:val="0000ff"/>
          <w:lang w:eastAsia="ru-RU"/>
        </w:rPr>
        <w:t xml:space="preserve">                                                                                        </w:t>
      </w:r>
      <w:r>
        <w:rPr>
          <w:i/>
          <w:iCs/>
          <w:color w:val="0000ff"/>
          <w:lang w:eastAsia="ru-RU"/>
        </w:rPr>
        <w:t xml:space="preserve">(подпись)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i/>
          <w:color w:val="0000ff"/>
        </w:rPr>
      </w:pPr>
      <w:r>
        <w:rPr>
          <w:i/>
          <w:color w:val="0000ff"/>
        </w:rPr>
        <w:t xml:space="preserve">Абзац ниже указывается при оформлении Согласия на бумажном носителе, кроме клиентов Корпоративного бизнеса ГО</w:t>
      </w:r>
      <w:r>
        <w:rPr>
          <w:i/>
          <w:color w:val="0000ff"/>
        </w:rPr>
      </w:r>
    </w:p>
    <w:p>
      <w:pPr>
        <w:jc w:val="both"/>
      </w:pPr>
      <w:r>
        <w:t xml:space="preserve">Я, __ </w:t>
      </w:r>
      <w:r>
        <w:rPr>
          <w:i/>
          <w:color w:val="0000ff"/>
        </w:rPr>
        <w:t xml:space="preserve">(указывается фамилия, имя, отчество и должность работника </w:t>
      </w:r>
      <w:r>
        <w:rPr>
          <w:i/>
          <w:color w:val="0000ff"/>
        </w:rPr>
        <w:t xml:space="preserve">Компании</w:t>
      </w:r>
      <w:r>
        <w:rPr>
          <w:i/>
          <w:color w:val="0000ff"/>
        </w:rPr>
        <w:t xml:space="preserve">)</w:t>
      </w:r>
      <w:r>
        <w:rPr>
          <w:i/>
        </w:rPr>
        <w:t xml:space="preserve"> </w:t>
      </w:r>
      <w:r>
        <w:t xml:space="preserve">свидетельствую подписание настоящего согласия в моем присутствии следующим лицом_________________ </w:t>
      </w:r>
      <w:r>
        <w:rPr>
          <w:i/>
          <w:color w:val="0000ff"/>
        </w:rPr>
        <w:t xml:space="preserve">(указывается фамилия, имя и отчество лица, подписавшего согласие со стороны Клиента)</w:t>
      </w:r>
      <w:r>
        <w:rPr>
          <w:i/>
        </w:rPr>
        <w:t xml:space="preserve">,</w:t>
      </w:r>
      <w:r>
        <w:t xml:space="preserve"> личность которого мной установлена на основании ________________________ </w:t>
      </w:r>
      <w:r>
        <w:rPr>
          <w:i/>
          <w:color w:val="0000ff"/>
        </w:rPr>
        <w:t xml:space="preserve">(указывается документ, удостоверяющий личность лица, подписывающего согласие)</w:t>
      </w:r>
      <w:r>
        <w:t xml:space="preserve">. Подпись: ___________________.</w:t>
      </w:r>
    </w:p>
    <w:sectPr>
      <w:footnotePr/>
      <w:endnotePr/>
      <w:type w:val="nextPage"/>
      <w:pgSz w:w="11905" w:h="16837" w:orient="portrait"/>
      <w:pgMar w:top="851" w:right="1418" w:bottom="1418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Times New Roman">
    <w:panose1 w:val="02020603050405020304"/>
  </w:font>
  <w:font w:name="Tahoma">
    <w:panose1 w:val="020B0604030504040204"/>
  </w:font>
  <w:font w:name="DejaVu LGC Sans">
    <w:panose1 w:val="02000603000000000000"/>
  </w:font>
  <w:font w:name="StarSymbol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none"/>
      <w:pStyle w:val="677"/>
      <w:isLgl w:val="false"/>
      <w:suff w:val="nothing"/>
      <w:lvlText w:val="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none"/>
      <w:isLgl w:val="false"/>
      <w:suff w:val="nothing"/>
      <w:lvlText w:val="."/>
      <w:lvlJc w:val="left"/>
      <w:pPr>
        <w:tabs>
          <w:tab w:val="num" w:pos="1440" w:leader="none"/>
        </w:tabs>
        <w:ind w:left="1440" w:hanging="360"/>
      </w:pPr>
      <w:rPr>
        <w:rFonts w:ascii="Symbol" w:hAnsi="Symbol"/>
      </w:rPr>
    </w:lvl>
    <w:lvl w:ilvl="2">
      <w:start w:val="1"/>
      <w:numFmt w:val="decimal"/>
      <w:isLgl w:val="false"/>
      <w:suff w:val="tab"/>
      <w:lvlText w:val="..%3"/>
      <w:lvlJc w:val="left"/>
      <w:pPr>
        <w:tabs>
          <w:tab w:val="num" w:pos="2880" w:leader="none"/>
        </w:tabs>
        <w:ind w:left="2880" w:hanging="720"/>
      </w:pPr>
    </w:lvl>
    <w:lvl w:ilvl="3">
      <w:start w:val="1"/>
      <w:numFmt w:val="decimal"/>
      <w:isLgl w:val="false"/>
      <w:suff w:val="tab"/>
      <w:lvlText w:val="...%4"/>
      <w:lvlJc w:val="left"/>
      <w:pPr>
        <w:tabs>
          <w:tab w:val="num" w:pos="3960" w:leader="none"/>
        </w:tabs>
        <w:ind w:left="3960" w:hanging="720"/>
      </w:pPr>
    </w:lvl>
    <w:lvl w:ilvl="4">
      <w:start w:val="1"/>
      <w:numFmt w:val="decimal"/>
      <w:isLgl w:val="false"/>
      <w:suff w:val="tab"/>
      <w:lvlText w:val="....%5"/>
      <w:lvlJc w:val="left"/>
      <w:pPr>
        <w:tabs>
          <w:tab w:val="num" w:pos="5400" w:leader="none"/>
        </w:tabs>
        <w:ind w:left="5400" w:hanging="1080"/>
      </w:pPr>
    </w:lvl>
    <w:lvl w:ilvl="5">
      <w:start w:val="1"/>
      <w:numFmt w:val="decimal"/>
      <w:isLgl w:val="false"/>
      <w:suff w:val="tab"/>
      <w:lvlText w:val=".......%6"/>
      <w:lvlJc w:val="left"/>
      <w:pPr>
        <w:tabs>
          <w:tab w:val="num" w:pos="6480" w:leader="none"/>
        </w:tabs>
        <w:ind w:left="6480" w:hanging="1080"/>
      </w:pPr>
    </w:lvl>
    <w:lvl w:ilvl="6">
      <w:start w:val="1"/>
      <w:numFmt w:val="decimal"/>
      <w:isLgl w:val="false"/>
      <w:suff w:val="tab"/>
      <w:lvlText w:val="..........%7"/>
      <w:lvlJc w:val="left"/>
      <w:pPr>
        <w:tabs>
          <w:tab w:val="num" w:pos="7920" w:leader="none"/>
        </w:tabs>
        <w:ind w:left="7920" w:hanging="1440"/>
      </w:pPr>
    </w:lvl>
    <w:lvl w:ilvl="7">
      <w:start w:val="1"/>
      <w:numFmt w:val="decimal"/>
      <w:isLgl w:val="false"/>
      <w:suff w:val="tab"/>
      <w:lvlText w:val=".........%8...."/>
      <w:lvlJc w:val="left"/>
      <w:pPr>
        <w:tabs>
          <w:tab w:val="num" w:pos="9000" w:leader="none"/>
        </w:tabs>
        <w:ind w:left="9000" w:hanging="1440"/>
      </w:pPr>
    </w:lvl>
    <w:lvl w:ilvl="8">
      <w:start w:val="1"/>
      <w:numFmt w:val="decimal"/>
      <w:isLgl w:val="false"/>
      <w:suff w:val="tab"/>
      <w:lvlText w:val=".........%7.%8.%9....."/>
      <w:lvlJc w:val="left"/>
      <w:pPr>
        <w:tabs>
          <w:tab w:val="num" w:pos="10440" w:leader="none"/>
        </w:tabs>
        <w:ind w:left="10440" w:hanging="180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/>
        <w:color w:val="auto"/>
      </w:rPr>
    </w:lvl>
    <w:lvl w:ilvl="1">
      <w:start w:val="1"/>
      <w:numFmt w:val="bullet"/>
      <w:pStyle w:val="774"/>
      <w:isLgl w:val="false"/>
      <w:suff w:val="tab"/>
      <w:lvlText w:val="–"/>
      <w:lvlJc w:val="left"/>
      <w:pPr>
        <w:tabs>
          <w:tab w:val="num" w:pos="2126" w:leader="none"/>
        </w:tabs>
        <w:ind w:left="2126" w:hanging="708"/>
      </w:pPr>
      <w:rPr>
        <w:rFonts w:hint="default" w:ascii="Times New Roman" w:hAnsi="Times New Roman" w:cs="Times New Roman"/>
        <w:color w:val="auto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29" w:leader="none"/>
        </w:tabs>
        <w:ind w:left="1429" w:hanging="720"/>
      </w:pPr>
      <w:rPr>
        <w:rFonts w:hint="default"/>
        <w:b/>
      </w:rPr>
    </w:lvl>
    <w:lvl w:ilvl="1">
      <w:start w:val="6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pStyle w:val="771"/>
      <w:isLgl w:val="false"/>
      <w:suff w:val="tab"/>
      <w:lvlText w:val=""/>
      <w:lvlJc w:val="left"/>
      <w:pPr>
        <w:tabs>
          <w:tab w:val="num" w:pos="1418" w:leader="none"/>
        </w:tabs>
        <w:ind w:left="1418" w:hanging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2160" w:leader="none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600" w:leader="none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320" w:leader="none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760" w:leader="none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480" w:leader="none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200" w:leader="none"/>
        </w:tabs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pStyle w:val="775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9"/>
    <w:link w:val="730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9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9"/>
    <w:link w:val="739"/>
    <w:uiPriority w:val="99"/>
  </w:style>
  <w:style w:type="character" w:styleId="45">
    <w:name w:val="Footer Char"/>
    <w:basedOn w:val="679"/>
    <w:link w:val="740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0"/>
    <w:uiPriority w:val="99"/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50"/>
    <w:uiPriority w:val="99"/>
    <w:rPr>
      <w:sz w:val="18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9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eastAsia="ar-SA"/>
    </w:rPr>
  </w:style>
  <w:style w:type="paragraph" w:styleId="677">
    <w:name w:val="Heading 1"/>
    <w:basedOn w:val="676"/>
    <w:next w:val="676"/>
    <w:qFormat/>
    <w:pPr>
      <w:keepNext/>
      <w:numPr>
        <w:numId w:val="1"/>
        <w:ilvl w:val="0"/>
      </w:numPr>
      <w:jc w:val="center"/>
      <w:outlineLvl w:val="0"/>
    </w:pPr>
    <w:rPr>
      <w:rFonts w:ascii="Arial" w:hAnsi="Arial" w:cs="Arial"/>
      <w:b/>
      <w:bCs/>
      <w:sz w:val="48"/>
      <w:szCs w:val="24"/>
    </w:rPr>
  </w:style>
  <w:style w:type="paragraph" w:styleId="678">
    <w:name w:val="Heading 2"/>
    <w:basedOn w:val="676"/>
    <w:next w:val="67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WW8Num1z1"/>
    <w:rPr>
      <w:rFonts w:ascii="Symbol" w:hAnsi="Symbol"/>
    </w:rPr>
  </w:style>
  <w:style w:type="character" w:styleId="683" w:customStyle="1">
    <w:name w:val="WW8Num2z0"/>
    <w:rPr>
      <w:rFonts w:ascii="Symbol" w:hAnsi="Symbol"/>
    </w:rPr>
  </w:style>
  <w:style w:type="character" w:styleId="684" w:customStyle="1">
    <w:name w:val="Основной шрифт абзаца3"/>
  </w:style>
  <w:style w:type="character" w:styleId="685" w:customStyle="1">
    <w:name w:val="Absatz-Standardschriftart"/>
  </w:style>
  <w:style w:type="character" w:styleId="686" w:customStyle="1">
    <w:name w:val="WW-Absatz-Standardschriftart"/>
  </w:style>
  <w:style w:type="character" w:styleId="687" w:customStyle="1">
    <w:name w:val="WW-Absatz-Standardschriftart1"/>
  </w:style>
  <w:style w:type="character" w:styleId="688" w:customStyle="1">
    <w:name w:val="WW-Absatz-Standardschriftart11"/>
  </w:style>
  <w:style w:type="character" w:styleId="689" w:customStyle="1">
    <w:name w:val="WW8Num2z1"/>
    <w:rPr>
      <w:rFonts w:ascii="Courier New" w:hAnsi="Courier New" w:cs="Courier New"/>
    </w:rPr>
  </w:style>
  <w:style w:type="character" w:styleId="690" w:customStyle="1">
    <w:name w:val="WW8Num3z1"/>
    <w:rPr>
      <w:rFonts w:ascii="Courier New" w:hAnsi="Courier New" w:cs="Courier New"/>
    </w:rPr>
  </w:style>
  <w:style w:type="character" w:styleId="691" w:customStyle="1">
    <w:name w:val="WW8Num4z0"/>
    <w:rPr>
      <w:rFonts w:ascii="Symbol" w:hAnsi="Symbol"/>
    </w:rPr>
  </w:style>
  <w:style w:type="character" w:styleId="692" w:customStyle="1">
    <w:name w:val="WW8Num6z1"/>
    <w:rPr>
      <w:rFonts w:ascii="Courier New" w:hAnsi="Courier New" w:cs="Courier New"/>
    </w:rPr>
  </w:style>
  <w:style w:type="character" w:styleId="693" w:customStyle="1">
    <w:name w:val="WW8Num7z0"/>
    <w:rPr>
      <w:rFonts w:ascii="Symbol" w:hAnsi="Symbol"/>
    </w:rPr>
  </w:style>
  <w:style w:type="character" w:styleId="694" w:customStyle="1">
    <w:name w:val="WW-Absatz-Standardschriftart111"/>
  </w:style>
  <w:style w:type="character" w:styleId="695" w:customStyle="1">
    <w:name w:val="WW8Num3z0"/>
    <w:rPr>
      <w:rFonts w:ascii="Symbol" w:hAnsi="Symbol"/>
    </w:rPr>
  </w:style>
  <w:style w:type="character" w:styleId="696" w:customStyle="1">
    <w:name w:val="WW8Num3z2"/>
    <w:rPr>
      <w:rFonts w:ascii="Wingdings" w:hAnsi="Wingdings"/>
    </w:rPr>
  </w:style>
  <w:style w:type="character" w:styleId="697" w:customStyle="1">
    <w:name w:val="WW8Num3z3"/>
    <w:rPr>
      <w:rFonts w:ascii="Symbol" w:hAnsi="Symbol"/>
    </w:rPr>
  </w:style>
  <w:style w:type="character" w:styleId="698" w:customStyle="1">
    <w:name w:val="WW8Num4z1"/>
    <w:rPr>
      <w:rFonts w:ascii="Courier New" w:hAnsi="Courier New" w:cs="Courier New"/>
    </w:rPr>
  </w:style>
  <w:style w:type="character" w:styleId="699" w:customStyle="1">
    <w:name w:val="WW8Num5z0"/>
    <w:rPr>
      <w:rFonts w:ascii="Symbol" w:hAnsi="Symbol"/>
    </w:rPr>
  </w:style>
  <w:style w:type="character" w:styleId="700" w:customStyle="1">
    <w:name w:val="WW8Num5z1"/>
    <w:rPr>
      <w:rFonts w:ascii="Courier New" w:hAnsi="Courier New" w:cs="Courier New"/>
    </w:rPr>
  </w:style>
  <w:style w:type="character" w:styleId="701" w:customStyle="1">
    <w:name w:val="WW8Num5z2"/>
    <w:rPr>
      <w:rFonts w:ascii="Wingdings" w:hAnsi="Wingdings"/>
    </w:rPr>
  </w:style>
  <w:style w:type="character" w:styleId="702" w:customStyle="1">
    <w:name w:val="WW8Num6z0"/>
    <w:rPr>
      <w:rFonts w:ascii="Symbol" w:hAnsi="Symbol"/>
    </w:rPr>
  </w:style>
  <w:style w:type="character" w:styleId="703" w:customStyle="1">
    <w:name w:val="WW8Num8z1"/>
    <w:rPr>
      <w:rFonts w:ascii="Symbol" w:hAnsi="Symbol"/>
    </w:rPr>
  </w:style>
  <w:style w:type="character" w:styleId="704" w:customStyle="1">
    <w:name w:val="WW8Num9z0"/>
    <w:rPr>
      <w:b/>
    </w:rPr>
  </w:style>
  <w:style w:type="character" w:styleId="705" w:customStyle="1">
    <w:name w:val="WW8Num10z0"/>
    <w:rPr>
      <w:rFonts w:ascii="Symbol" w:hAnsi="Symbol"/>
    </w:rPr>
  </w:style>
  <w:style w:type="character" w:styleId="706" w:customStyle="1">
    <w:name w:val="WW8Num10z1"/>
    <w:rPr>
      <w:rFonts w:ascii="Courier New" w:hAnsi="Courier New" w:cs="Courier New"/>
    </w:rPr>
  </w:style>
  <w:style w:type="character" w:styleId="707" w:customStyle="1">
    <w:name w:val="WW8Num10z2"/>
    <w:rPr>
      <w:rFonts w:ascii="Wingdings" w:hAnsi="Wingdings"/>
    </w:rPr>
  </w:style>
  <w:style w:type="character" w:styleId="708" w:customStyle="1">
    <w:name w:val="WW8Num11z0"/>
    <w:rPr>
      <w:rFonts w:ascii="Symbol" w:hAnsi="Symbol"/>
    </w:rPr>
  </w:style>
  <w:style w:type="character" w:styleId="709" w:customStyle="1">
    <w:name w:val="WW8Num11z1"/>
    <w:rPr>
      <w:rFonts w:ascii="Courier New" w:hAnsi="Courier New" w:cs="Courier New"/>
    </w:rPr>
  </w:style>
  <w:style w:type="character" w:styleId="710" w:customStyle="1">
    <w:name w:val="WW8Num11z2"/>
    <w:rPr>
      <w:rFonts w:ascii="Wingdings" w:hAnsi="Wingdings"/>
    </w:rPr>
  </w:style>
  <w:style w:type="character" w:styleId="711" w:customStyle="1">
    <w:name w:val="WW8Num12z0"/>
    <w:rPr>
      <w:b/>
    </w:rPr>
  </w:style>
  <w:style w:type="character" w:styleId="712" w:customStyle="1">
    <w:name w:val="WW8Num13z0"/>
    <w:rPr>
      <w:b/>
    </w:rPr>
  </w:style>
  <w:style w:type="character" w:styleId="713" w:customStyle="1">
    <w:name w:val="WW8Num14z0"/>
    <w:rPr>
      <w:rFonts w:ascii="Courier New" w:hAnsi="Courier New" w:cs="Courier New"/>
    </w:rPr>
  </w:style>
  <w:style w:type="character" w:styleId="714" w:customStyle="1">
    <w:name w:val="WW8Num14z2"/>
    <w:rPr>
      <w:rFonts w:ascii="Wingdings" w:hAnsi="Wingdings"/>
    </w:rPr>
  </w:style>
  <w:style w:type="character" w:styleId="715" w:customStyle="1">
    <w:name w:val="WW8Num14z3"/>
    <w:rPr>
      <w:rFonts w:ascii="Symbol" w:hAnsi="Symbol"/>
    </w:rPr>
  </w:style>
  <w:style w:type="character" w:styleId="716" w:customStyle="1">
    <w:name w:val="Основной шрифт абзаца2"/>
  </w:style>
  <w:style w:type="character" w:styleId="717" w:customStyle="1">
    <w:name w:val="WW8Num2z2"/>
    <w:rPr>
      <w:rFonts w:ascii="Wingdings" w:hAnsi="Wingdings"/>
    </w:rPr>
  </w:style>
  <w:style w:type="character" w:styleId="718" w:customStyle="1">
    <w:name w:val="WW8Num4z2"/>
    <w:rPr>
      <w:rFonts w:ascii="Wingdings" w:hAnsi="Wingdings"/>
    </w:rPr>
  </w:style>
  <w:style w:type="character" w:styleId="719" w:customStyle="1">
    <w:name w:val="WW8Num6z2"/>
    <w:rPr>
      <w:rFonts w:ascii="Wingdings" w:hAnsi="Wingdings"/>
    </w:rPr>
  </w:style>
  <w:style w:type="character" w:styleId="720" w:customStyle="1">
    <w:name w:val="Основной шрифт абзаца1"/>
  </w:style>
  <w:style w:type="character" w:styleId="721" w:customStyle="1">
    <w:name w:val="Обычный 11"/>
    <w:rPr>
      <w:sz w:val="22"/>
    </w:rPr>
  </w:style>
  <w:style w:type="character" w:styleId="722">
    <w:name w:val="Hyperlink"/>
    <w:uiPriority w:val="99"/>
    <w:rPr>
      <w:color w:val="0000ff"/>
      <w:u w:val="single"/>
    </w:rPr>
  </w:style>
  <w:style w:type="character" w:styleId="723" w:customStyle="1">
    <w:name w:val="Символ сноски"/>
    <w:rPr>
      <w:vertAlign w:val="superscript"/>
    </w:rPr>
  </w:style>
  <w:style w:type="character" w:styleId="724" w:customStyle="1">
    <w:name w:val="Знак сноски1"/>
    <w:rPr>
      <w:vertAlign w:val="superscript"/>
    </w:rPr>
  </w:style>
  <w:style w:type="character" w:styleId="725" w:customStyle="1">
    <w:name w:val="Символы концевой сноски"/>
    <w:rPr>
      <w:vertAlign w:val="superscript"/>
    </w:rPr>
  </w:style>
  <w:style w:type="character" w:styleId="726" w:customStyle="1">
    <w:name w:val="WW-Символы концевой сноски"/>
  </w:style>
  <w:style w:type="character" w:styleId="727" w:customStyle="1">
    <w:name w:val="Знак концевой сноски1"/>
    <w:rPr>
      <w:vertAlign w:val="superscript"/>
    </w:rPr>
  </w:style>
  <w:style w:type="character" w:styleId="728" w:customStyle="1">
    <w:name w:val="Маркеры списка"/>
    <w:rPr>
      <w:rFonts w:ascii="StarSymbol" w:hAnsi="StarSymbol" w:eastAsia="StarSymbol" w:cs="StarSymbol"/>
      <w:sz w:val="18"/>
      <w:szCs w:val="18"/>
    </w:rPr>
  </w:style>
  <w:style w:type="character" w:styleId="729" w:customStyle="1">
    <w:name w:val="Символ нумерации"/>
  </w:style>
  <w:style w:type="paragraph" w:styleId="730">
    <w:name w:val="Title"/>
    <w:basedOn w:val="676"/>
    <w:next w:val="731"/>
    <w:pPr>
      <w:keepNext/>
      <w:spacing w:before="240" w:after="120"/>
    </w:pPr>
    <w:rPr>
      <w:rFonts w:eastAsia="DejaVu LGC Sans" w:cs="Tahoma"/>
      <w:sz w:val="28"/>
      <w:szCs w:val="28"/>
    </w:rPr>
  </w:style>
  <w:style w:type="paragraph" w:styleId="731">
    <w:name w:val="Body Text"/>
    <w:basedOn w:val="676"/>
    <w:pPr>
      <w:spacing w:after="220" w:line="220" w:lineRule="atLeast"/>
      <w:jc w:val="both"/>
    </w:pPr>
    <w:rPr>
      <w:rFonts w:ascii="Arial" w:hAnsi="Arial"/>
      <w:spacing w:val="-5"/>
      <w:lang w:eastAsia="he-IL" w:bidi="he-IL"/>
    </w:rPr>
  </w:style>
  <w:style w:type="paragraph" w:styleId="732">
    <w:name w:val="List"/>
    <w:basedOn w:val="731"/>
    <w:rPr>
      <w:rFonts w:ascii="Times New Roman" w:hAnsi="Times New Roman" w:cs="Tahoma"/>
    </w:rPr>
  </w:style>
  <w:style w:type="paragraph" w:styleId="733" w:customStyle="1">
    <w:name w:val="Название3"/>
    <w:basedOn w:val="67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734" w:customStyle="1">
    <w:name w:val="Указатель3"/>
    <w:basedOn w:val="676"/>
    <w:pPr>
      <w:suppressLineNumbers/>
    </w:pPr>
    <w:rPr>
      <w:rFonts w:ascii="Arial" w:hAnsi="Arial" w:cs="Tahoma"/>
    </w:rPr>
  </w:style>
  <w:style w:type="paragraph" w:styleId="735" w:customStyle="1">
    <w:name w:val="Название2"/>
    <w:basedOn w:val="6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736" w:customStyle="1">
    <w:name w:val="Указатель2"/>
    <w:basedOn w:val="676"/>
    <w:pPr>
      <w:suppressLineNumbers/>
    </w:pPr>
    <w:rPr>
      <w:rFonts w:cs="Tahoma"/>
    </w:rPr>
  </w:style>
  <w:style w:type="paragraph" w:styleId="737" w:customStyle="1">
    <w:name w:val="Название1"/>
    <w:basedOn w:val="6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738" w:customStyle="1">
    <w:name w:val="Указатель1"/>
    <w:basedOn w:val="676"/>
    <w:pPr>
      <w:suppressLineNumbers/>
    </w:pPr>
    <w:rPr>
      <w:rFonts w:cs="Tahoma"/>
    </w:rPr>
  </w:style>
  <w:style w:type="paragraph" w:styleId="739">
    <w:name w:val="Header"/>
    <w:basedOn w:val="676"/>
    <w:link w:val="777"/>
    <w:uiPriority w:val="99"/>
    <w:pPr>
      <w:tabs>
        <w:tab w:val="center" w:pos="4677" w:leader="none"/>
        <w:tab w:val="right" w:pos="9355" w:leader="none"/>
      </w:tabs>
    </w:pPr>
  </w:style>
  <w:style w:type="paragraph" w:styleId="740">
    <w:name w:val="Footer"/>
    <w:basedOn w:val="676"/>
    <w:link w:val="778"/>
    <w:uiPriority w:val="99"/>
    <w:pPr>
      <w:tabs>
        <w:tab w:val="center" w:pos="4677" w:leader="none"/>
        <w:tab w:val="right" w:pos="9355" w:leader="none"/>
      </w:tabs>
    </w:pPr>
  </w:style>
  <w:style w:type="paragraph" w:styleId="741" w:customStyle="1">
    <w:name w:val="Название документа 2"/>
    <w:basedOn w:val="676"/>
    <w:pPr>
      <w:spacing w:before="60" w:after="60"/>
      <w:jc w:val="center"/>
    </w:pPr>
    <w:rPr>
      <w:b/>
      <w:bCs/>
      <w:sz w:val="28"/>
    </w:rPr>
  </w:style>
  <w:style w:type="paragraph" w:styleId="742" w:customStyle="1">
    <w:name w:val="Название документа 1"/>
    <w:basedOn w:val="676"/>
    <w:pPr>
      <w:spacing w:before="60" w:after="60"/>
      <w:jc w:val="center"/>
    </w:pPr>
    <w:rPr>
      <w:b/>
      <w:bCs/>
      <w:sz w:val="44"/>
    </w:rPr>
  </w:style>
  <w:style w:type="paragraph" w:styleId="743">
    <w:name w:val="toc 7"/>
    <w:basedOn w:val="676"/>
    <w:next w:val="676"/>
    <w:semiHidden/>
    <w:pPr>
      <w:ind w:left="1000"/>
    </w:pPr>
  </w:style>
  <w:style w:type="paragraph" w:styleId="744" w:customStyle="1">
    <w:name w:val="Знак Знак Знак Знак"/>
    <w:basedOn w:val="676"/>
    <w:pPr>
      <w:spacing w:after="160" w:line="240" w:lineRule="exact"/>
    </w:pPr>
    <w:rPr>
      <w:rFonts w:ascii="Tahoma" w:hAnsi="Tahoma"/>
      <w:lang w:val="en-US"/>
    </w:rPr>
  </w:style>
  <w:style w:type="paragraph" w:styleId="745" w:customStyle="1">
    <w:name w:val="Normal letter"/>
    <w:basedOn w:val="676"/>
    <w:pPr>
      <w:jc w:val="both"/>
    </w:pPr>
    <w:rPr>
      <w:rFonts w:ascii="Baltica" w:hAnsi="Baltica"/>
      <w:sz w:val="24"/>
      <w:szCs w:val="24"/>
      <w:lang w:val="en-US"/>
    </w:rPr>
  </w:style>
  <w:style w:type="paragraph" w:styleId="746" w:customStyle="1">
    <w:name w:val="Содержимое таблицы"/>
    <w:basedOn w:val="676"/>
    <w:pPr>
      <w:suppressLineNumbers/>
    </w:pPr>
  </w:style>
  <w:style w:type="paragraph" w:styleId="747" w:customStyle="1">
    <w:name w:val="Заголовок таблицы"/>
    <w:basedOn w:val="746"/>
    <w:pPr>
      <w:jc w:val="center"/>
    </w:pPr>
    <w:rPr>
      <w:b/>
      <w:bCs/>
    </w:rPr>
  </w:style>
  <w:style w:type="paragraph" w:styleId="748">
    <w:name w:val="Balloon Text"/>
    <w:basedOn w:val="676"/>
    <w:rPr>
      <w:rFonts w:ascii="Tahoma" w:hAnsi="Tahoma" w:cs="Tahoma"/>
      <w:sz w:val="16"/>
      <w:szCs w:val="16"/>
    </w:rPr>
  </w:style>
  <w:style w:type="paragraph" w:styleId="749" w:customStyle="1">
    <w:name w:val="Знак Знак Знак Знак1 Знак Знак Знак"/>
    <w:basedOn w:val="676"/>
    <w:pPr>
      <w:spacing w:after="160" w:line="240" w:lineRule="exact"/>
    </w:pPr>
    <w:rPr>
      <w:rFonts w:ascii="Tahoma" w:hAnsi="Tahoma"/>
      <w:lang w:val="en-US"/>
    </w:rPr>
  </w:style>
  <w:style w:type="paragraph" w:styleId="750">
    <w:name w:val="footnote text"/>
    <w:basedOn w:val="676"/>
    <w:link w:val="781"/>
  </w:style>
  <w:style w:type="paragraph" w:styleId="751" w:customStyle="1">
    <w:name w:val="Знак"/>
    <w:basedOn w:val="676"/>
    <w:pPr>
      <w:spacing w:after="160" w:line="240" w:lineRule="exact"/>
    </w:pPr>
    <w:rPr>
      <w:rFonts w:ascii="Tahoma" w:hAnsi="Tahoma"/>
      <w:lang w:val="en-US"/>
    </w:rPr>
  </w:style>
  <w:style w:type="paragraph" w:styleId="752" w:customStyle="1">
    <w:name w:val="Знак Знак Знак Знак Знак Знак Знак Знак Знак1 Знак"/>
    <w:basedOn w:val="676"/>
    <w:pPr>
      <w:spacing w:after="160" w:line="240" w:lineRule="exact"/>
    </w:pPr>
    <w:rPr>
      <w:rFonts w:ascii="Tahoma" w:hAnsi="Tahoma"/>
      <w:lang w:val="en-US"/>
    </w:rPr>
  </w:style>
  <w:style w:type="paragraph" w:styleId="753">
    <w:name w:val="toc 1"/>
    <w:basedOn w:val="676"/>
    <w:next w:val="676"/>
    <w:uiPriority w:val="39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754" w:customStyle="1">
    <w:name w:val="обыч2"/>
    <w:basedOn w:val="676"/>
    <w:pPr>
      <w:tabs>
        <w:tab w:val="left" w:pos="1418" w:leader="none"/>
      </w:tabs>
      <w:ind w:firstLine="709"/>
      <w:jc w:val="both"/>
    </w:pPr>
    <w:rPr>
      <w:sz w:val="24"/>
      <w:szCs w:val="24"/>
    </w:rPr>
  </w:style>
  <w:style w:type="paragraph" w:styleId="755" w:customStyle="1">
    <w:name w:val="обыч3"/>
    <w:basedOn w:val="676"/>
    <w:pPr>
      <w:tabs>
        <w:tab w:val="left" w:pos="1418" w:leader="none"/>
      </w:tabs>
      <w:ind w:firstLine="709"/>
      <w:jc w:val="both"/>
    </w:pPr>
    <w:rPr>
      <w:sz w:val="24"/>
      <w:szCs w:val="24"/>
    </w:rPr>
  </w:style>
  <w:style w:type="paragraph" w:styleId="756" w:customStyle="1">
    <w:name w:val="обыч4"/>
    <w:basedOn w:val="676"/>
    <w:pPr>
      <w:ind w:firstLine="709"/>
    </w:pPr>
  </w:style>
  <w:style w:type="paragraph" w:styleId="757">
    <w:name w:val="toc 2"/>
    <w:basedOn w:val="734"/>
    <w:uiPriority w:val="39"/>
    <w:pPr>
      <w:suppressLineNumbers w:val="0"/>
      <w:spacing w:before="240"/>
    </w:pPr>
    <w:rPr>
      <w:rFonts w:ascii="Times New Roman" w:hAnsi="Times New Roman" w:cs="Times New Roman"/>
      <w:b/>
      <w:bCs/>
    </w:rPr>
  </w:style>
  <w:style w:type="paragraph" w:styleId="758">
    <w:name w:val="toc 3"/>
    <w:basedOn w:val="734"/>
    <w:uiPriority w:val="39"/>
    <w:pPr>
      <w:suppressLineNumbers w:val="0"/>
      <w:ind w:left="200"/>
    </w:pPr>
    <w:rPr>
      <w:rFonts w:ascii="Times New Roman" w:hAnsi="Times New Roman" w:cs="Times New Roman"/>
    </w:rPr>
  </w:style>
  <w:style w:type="paragraph" w:styleId="759">
    <w:name w:val="toc 4"/>
    <w:basedOn w:val="734"/>
    <w:semiHidden/>
    <w:pPr>
      <w:suppressLineNumbers w:val="0"/>
      <w:ind w:left="400"/>
    </w:pPr>
    <w:rPr>
      <w:rFonts w:ascii="Times New Roman" w:hAnsi="Times New Roman" w:cs="Times New Roman"/>
    </w:rPr>
  </w:style>
  <w:style w:type="paragraph" w:styleId="760">
    <w:name w:val="toc 5"/>
    <w:basedOn w:val="734"/>
    <w:semiHidden/>
    <w:pPr>
      <w:suppressLineNumbers w:val="0"/>
      <w:ind w:left="600"/>
    </w:pPr>
    <w:rPr>
      <w:rFonts w:ascii="Times New Roman" w:hAnsi="Times New Roman" w:cs="Times New Roman"/>
    </w:rPr>
  </w:style>
  <w:style w:type="paragraph" w:styleId="761">
    <w:name w:val="toc 6"/>
    <w:basedOn w:val="734"/>
    <w:semiHidden/>
    <w:pPr>
      <w:suppressLineNumbers w:val="0"/>
      <w:ind w:left="800"/>
    </w:pPr>
    <w:rPr>
      <w:rFonts w:ascii="Times New Roman" w:hAnsi="Times New Roman" w:cs="Times New Roman"/>
    </w:rPr>
  </w:style>
  <w:style w:type="paragraph" w:styleId="762">
    <w:name w:val="toc 8"/>
    <w:basedOn w:val="734"/>
    <w:semiHidden/>
    <w:pPr>
      <w:suppressLineNumbers w:val="0"/>
      <w:ind w:left="1200"/>
    </w:pPr>
    <w:rPr>
      <w:rFonts w:ascii="Times New Roman" w:hAnsi="Times New Roman" w:cs="Times New Roman"/>
    </w:rPr>
  </w:style>
  <w:style w:type="paragraph" w:styleId="763">
    <w:name w:val="toc 9"/>
    <w:basedOn w:val="734"/>
    <w:semiHidden/>
    <w:pPr>
      <w:suppressLineNumbers w:val="0"/>
      <w:ind w:left="1400"/>
    </w:pPr>
    <w:rPr>
      <w:rFonts w:ascii="Times New Roman" w:hAnsi="Times New Roman" w:cs="Times New Roman"/>
    </w:rPr>
  </w:style>
  <w:style w:type="paragraph" w:styleId="764" w:customStyle="1">
    <w:name w:val="Оглавление 10"/>
    <w:basedOn w:val="734"/>
    <w:pPr>
      <w:tabs>
        <w:tab w:val="right" w:pos="9637" w:leader="dot"/>
      </w:tabs>
      <w:ind w:left="2547"/>
    </w:pPr>
  </w:style>
  <w:style w:type="character" w:styleId="765">
    <w:name w:val="page number"/>
    <w:basedOn w:val="679"/>
  </w:style>
  <w:style w:type="character" w:styleId="766">
    <w:name w:val="footnote reference"/>
    <w:rPr>
      <w:vertAlign w:val="superscript"/>
    </w:rPr>
  </w:style>
  <w:style w:type="character" w:styleId="767">
    <w:name w:val="annotation reference"/>
    <w:semiHidden/>
    <w:rPr>
      <w:sz w:val="16"/>
      <w:szCs w:val="16"/>
    </w:rPr>
  </w:style>
  <w:style w:type="paragraph" w:styleId="768">
    <w:name w:val="annotation text"/>
    <w:basedOn w:val="676"/>
    <w:semiHidden/>
  </w:style>
  <w:style w:type="paragraph" w:styleId="769">
    <w:name w:val="annotation subject"/>
    <w:basedOn w:val="768"/>
    <w:next w:val="768"/>
    <w:semiHidden/>
    <w:rPr>
      <w:b/>
      <w:bCs/>
    </w:rPr>
  </w:style>
  <w:style w:type="paragraph" w:styleId="770" w:customStyle="1">
    <w:name w:val="обыч без номера"/>
    <w:basedOn w:val="676"/>
    <w:pPr>
      <w:ind w:firstLine="1418"/>
      <w:jc w:val="both"/>
    </w:pPr>
    <w:rPr>
      <w:sz w:val="24"/>
      <w:szCs w:val="24"/>
      <w:lang w:eastAsia="ru-RU"/>
    </w:rPr>
  </w:style>
  <w:style w:type="paragraph" w:styleId="771" w:customStyle="1">
    <w:name w:val="марк1"/>
    <w:basedOn w:val="676"/>
    <w:pPr>
      <w:numPr>
        <w:numId w:val="2"/>
        <w:ilvl w:val="0"/>
      </w:numPr>
      <w:jc w:val="both"/>
    </w:pPr>
    <w:rPr>
      <w:sz w:val="24"/>
      <w:lang w:eastAsia="ru-RU"/>
    </w:rPr>
  </w:style>
  <w:style w:type="paragraph" w:styleId="772" w:customStyle="1">
    <w:name w:val="Название объекта1"/>
    <w:basedOn w:val="676"/>
    <w:next w:val="676"/>
    <w:rPr>
      <w:b/>
      <w:lang w:eastAsia="ru-RU"/>
    </w:rPr>
  </w:style>
  <w:style w:type="table" w:styleId="773">
    <w:name w:val="Table Grid"/>
    <w:basedOn w:val="6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4" w:customStyle="1">
    <w:name w:val="марк2"/>
    <w:basedOn w:val="676"/>
    <w:pPr>
      <w:numPr>
        <w:numId w:val="3"/>
        <w:ilvl w:val="1"/>
      </w:numPr>
      <w:jc w:val="both"/>
    </w:pPr>
    <w:rPr>
      <w:sz w:val="24"/>
      <w:szCs w:val="24"/>
      <w:lang w:eastAsia="ru-RU"/>
    </w:rPr>
  </w:style>
  <w:style w:type="paragraph" w:styleId="775" w:customStyle="1">
    <w:name w:val="Обычный список"/>
    <w:basedOn w:val="676"/>
    <w:link w:val="776"/>
    <w:pPr>
      <w:numPr>
        <w:numId w:val="4"/>
        <w:ilvl w:val="0"/>
      </w:numPr>
      <w:ind w:left="1066" w:hanging="357"/>
    </w:pPr>
    <w:rPr>
      <w:sz w:val="24"/>
      <w:szCs w:val="24"/>
      <w:lang w:eastAsia="ru-RU"/>
    </w:rPr>
  </w:style>
  <w:style w:type="character" w:styleId="776" w:customStyle="1">
    <w:name w:val="Обычный список Знак"/>
    <w:link w:val="775"/>
    <w:rPr>
      <w:sz w:val="24"/>
      <w:szCs w:val="24"/>
    </w:rPr>
  </w:style>
  <w:style w:type="character" w:styleId="777" w:customStyle="1">
    <w:name w:val="Верхний колонтитул Знак"/>
    <w:link w:val="739"/>
    <w:uiPriority w:val="99"/>
    <w:rPr>
      <w:lang w:eastAsia="ar-SA"/>
    </w:rPr>
  </w:style>
  <w:style w:type="character" w:styleId="778" w:customStyle="1">
    <w:name w:val="Нижний колонтитул Знак"/>
    <w:link w:val="740"/>
    <w:uiPriority w:val="99"/>
    <w:rPr>
      <w:lang w:eastAsia="ar-SA"/>
    </w:rPr>
  </w:style>
  <w:style w:type="paragraph" w:styleId="779">
    <w:name w:val="List Paragraph"/>
    <w:basedOn w:val="676"/>
    <w:uiPriority w:val="34"/>
    <w:qFormat/>
    <w:pPr>
      <w:ind w:left="708"/>
    </w:pPr>
  </w:style>
  <w:style w:type="paragraph" w:styleId="780" w:customStyle="1">
    <w:name w:val="Default"/>
    <w:rPr>
      <w:color w:val="000000"/>
      <w:sz w:val="24"/>
      <w:szCs w:val="24"/>
    </w:rPr>
  </w:style>
  <w:style w:type="character" w:styleId="781" w:customStyle="1">
    <w:name w:val="Текст сноски Знак"/>
    <w:link w:val="750"/>
    <w:rPr>
      <w:lang w:eastAsia="ar-SA"/>
    </w:rPr>
  </w:style>
  <w:style w:type="paragraph" w:styleId="782">
    <w:name w:val="Revision"/>
    <w:hidden/>
    <w:uiPriority w:val="99"/>
    <w:semiHidden/>
    <w:rPr>
      <w:lang w:eastAsia="ar-SA"/>
    </w:rPr>
  </w:style>
  <w:style w:type="character" w:styleId="783">
    <w:name w:val="FollowedHyperlink"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EB09-BAFB-4CD0-9151-0ACD974C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ompany>ПАО «Промсвязьбанк»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оформления внутренних нормативных документов</dc:title>
  <dc:subject>оформления внутренних нормативных документов</dc:subject>
  <dc:creator>Бердникова Е.В.</dc:creator>
  <cp:keywords/>
  <cp:revision>6</cp:revision>
  <dcterms:created xsi:type="dcterms:W3CDTF">2021-05-28T06:49:00Z</dcterms:created>
  <dcterms:modified xsi:type="dcterms:W3CDTF">2024-12-18T07:28:23Z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 записи">
    <vt:lpwstr>27.08.2009</vt:lpwstr>
  </property>
  <property fmtid="{D5CDD505-2E9C-101B-9397-08002B2CF9AE}" pid="3" name="Номер документа">
    <vt:lpwstr>3.00</vt:lpwstr>
  </property>
</Properties>
</file>