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b/>
          <w:bCs/>
          <w:i/>
          <w:iCs/>
          <w:color w:val="000000"/>
          <w:sz w:val="24"/>
          <w:szCs w:val="24"/>
        </w:rPr>
      </w:pPr>
      <w:bookmarkStart w:id="0" w:name="_Toc5804740"/>
      <w:r>
        <w:rPr>
          <w:b/>
          <w:bCs/>
          <w:i/>
          <w:iCs/>
          <w:color w:val="000000"/>
          <w:sz w:val="24"/>
          <w:szCs w:val="24"/>
        </w:rPr>
        <w:t xml:space="preserve">СОГЛАСИЕ НА ЗАПРОС ДАННЫХ (ПОЛУЧЕНИЕ КРЕДИТНОГО ОТЧЕТА) В БЮРО КРЕДИТНЫХ ИСТОРИЙ И НА ОБРАБОТКУ ПЕРСОНАЛЬНЫХ ДАННЫХ</w:t>
      </w:r>
      <w:bookmarkEnd w:id="0"/>
      <w:r>
        <w:rPr>
          <w:b/>
          <w:bCs/>
          <w:i/>
          <w:iCs/>
          <w:color w:val="000000"/>
          <w:sz w:val="24"/>
          <w:szCs w:val="24"/>
        </w:rPr>
      </w:r>
    </w:p>
    <w:p>
      <w:pPr>
        <w:jc w:val="both"/>
      </w:pPr>
    </w:p>
    <w:p>
      <w:pPr>
        <w:jc w:val="both"/>
        <w:rPr>
          <w:i/>
        </w:rPr>
      </w:pPr>
      <w:r>
        <w:rPr>
          <w:i/>
        </w:rPr>
        <w:t xml:space="preserve">Данная форма Согласия применяется только </w:t>
      </w:r>
      <w:r>
        <w:rPr>
          <w:i/>
        </w:rPr>
        <w:t xml:space="preserve">по продукт</w:t>
      </w:r>
      <w:r>
        <w:rPr>
          <w:i/>
        </w:rPr>
        <w:t xml:space="preserve">ам факторинга</w:t>
      </w:r>
      <w:r>
        <w:rPr>
          <w:i/>
        </w:rPr>
        <w:t xml:space="preserve"> </w:t>
      </w:r>
      <w:r>
        <w:rPr>
          <w:i/>
        </w:rPr>
        <w:t xml:space="preserve">для клиентов</w:t>
      </w:r>
      <w:r>
        <w:rPr>
          <w:i/>
        </w:rPr>
        <w:t xml:space="preserve"> – юридических лиц</w:t>
      </w:r>
      <w:r>
        <w:rPr>
          <w:i/>
        </w:rPr>
        <w:t xml:space="preserve"> </w:t>
      </w:r>
      <w:r>
        <w:rPr>
          <w:i/>
        </w:rPr>
        <w:t xml:space="preserve">и</w:t>
      </w:r>
      <w:r>
        <w:rPr>
          <w:i/>
        </w:rPr>
        <w:t xml:space="preserve"> включает согласие самого Клиента и его единоличного исполнительного органа.</w:t>
      </w:r>
      <w:r>
        <w:rPr>
          <w:i/>
        </w:rPr>
      </w:r>
    </w:p>
    <w:p>
      <w:pPr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jc w:val="both"/>
      </w:pPr>
      <w:r>
        <w:t xml:space="preserve">Дата: ____________</w:t>
      </w:r>
    </w:p>
    <w:p>
      <w:pPr>
        <w:jc w:val="both"/>
      </w:pPr>
    </w:p>
    <w:p>
      <w:pPr>
        <w:jc w:val="both"/>
        <w:rPr>
          <w:rFonts w:ascii="Garamond" w:hAnsi="Garamond"/>
          <w:i/>
          <w:color w:val="0000ff"/>
        </w:rPr>
      </w:pPr>
      <w:r>
        <w:rPr>
          <w:bCs/>
          <w:iCs/>
          <w:color w:val="000000"/>
        </w:rPr>
        <w:t xml:space="preserve">1. </w:t>
      </w:r>
      <w:r>
        <w:rPr>
          <w:bCs/>
          <w:iCs/>
          <w:color w:val="000000"/>
        </w:rPr>
        <w:t xml:space="preserve">Настоящим</w:t>
      </w:r>
      <w:r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  <w:shd w:val="clear" w:color="auto" w:fill="d9d9d9"/>
        </w:rPr>
        <w:t xml:space="preserve">____________________________________</w:t>
      </w:r>
      <w:r>
        <w:rPr>
          <w:bCs/>
          <w:i/>
          <w:iCs/>
          <w:color w:val="000000"/>
          <w:sz w:val="24"/>
          <w:szCs w:val="24"/>
        </w:rPr>
        <w:t xml:space="preserve"> (</w:t>
      </w:r>
      <w:r>
        <w:rPr>
          <w:rFonts w:ascii="Garamond" w:hAnsi="Garamond"/>
          <w:i/>
          <w:color w:val="0000ff"/>
        </w:rPr>
        <w:t xml:space="preserve">указывается полное и сокращенное наименование ЮЛ (а также фирменное наименование и наименование на одном из языков народов Р</w:t>
      </w:r>
      <w:r>
        <w:rPr>
          <w:rFonts w:ascii="Garamond" w:hAnsi="Garamond"/>
          <w:i/>
          <w:color w:val="0000ff"/>
        </w:rPr>
        <w:t xml:space="preserve">оссийской </w:t>
      </w:r>
      <w:r>
        <w:rPr>
          <w:rFonts w:ascii="Garamond" w:hAnsi="Garamond"/>
          <w:i/>
          <w:color w:val="0000ff"/>
        </w:rPr>
        <w:t xml:space="preserve">Ф</w:t>
      </w:r>
      <w:r>
        <w:rPr>
          <w:rFonts w:ascii="Garamond" w:hAnsi="Garamond"/>
          <w:i/>
          <w:color w:val="0000ff"/>
        </w:rPr>
        <w:t xml:space="preserve">едерации</w:t>
      </w:r>
      <w:r>
        <w:rPr>
          <w:rFonts w:ascii="Garamond" w:hAnsi="Garamond"/>
          <w:i/>
          <w:color w:val="0000ff"/>
        </w:rPr>
        <w:t xml:space="preserve"> и (или) иностранном языке (в случае, если таковые имеются) с указанием организационно-правовой формы</w:t>
      </w:r>
      <w:r>
        <w:rPr>
          <w:rFonts w:ascii="Garamond" w:hAnsi="Garamond"/>
          <w:i/>
          <w:color w:val="0000ff"/>
        </w:rPr>
        <w:t xml:space="preserve">)</w:t>
      </w:r>
      <w:r>
        <w:rPr>
          <w:rFonts w:ascii="Garamond" w:hAnsi="Garamond"/>
          <w:i/>
          <w:color w:val="0000f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5"/>
        <w:gridCol w:w="3054"/>
        <w:gridCol w:w="1774"/>
        <w:gridCol w:w="1896"/>
      </w:tblGrid>
      <w:tr>
        <w:trPr/>
        <w:tblPrEx/>
        <w:tc>
          <w:tcPr>
            <w:tcW w:w="2335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ОГРН</w:t>
            </w:r>
            <w:r>
              <w:rPr>
                <w:color w:val="000000"/>
              </w:rPr>
            </w:r>
          </w:p>
        </w:tc>
        <w:tc>
          <w:tcPr>
            <w:tcW w:w="3054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ascii="Garamond" w:hAnsi="Garamond"/>
                <w:color w:val="0000ff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rFonts w:ascii="Garamond" w:hAnsi="Garamond"/>
                <w:color w:val="0000ff"/>
              </w:rPr>
            </w:r>
          </w:p>
        </w:tc>
        <w:tc>
          <w:tcPr>
            <w:tcW w:w="1774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ИНН</w:t>
            </w:r>
            <w:r>
              <w:rPr>
                <w:color w:val="000000"/>
              </w:rPr>
            </w:r>
          </w:p>
        </w:tc>
        <w:tc>
          <w:tcPr>
            <w:tcW w:w="1896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ascii="Garamond" w:hAnsi="Garamond"/>
                <w:color w:val="0000ff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rFonts w:ascii="Garamond" w:hAnsi="Garamond"/>
                <w:color w:val="0000ff"/>
              </w:rPr>
            </w:r>
          </w:p>
        </w:tc>
      </w:tr>
      <w:tr>
        <w:trPr/>
        <w:tblPrEx/>
        <w:tc>
          <w:tcPr>
            <w:tcW w:w="9059" w:type="dxa"/>
            <w:gridSpan w:val="4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rFonts w:ascii="Garamond" w:hAnsi="Garamond"/>
                <w:color w:val="0000ff"/>
              </w:rPr>
            </w:pPr>
            <w:r>
              <w:rPr>
                <w:color w:val="000000"/>
              </w:rPr>
              <w:t xml:space="preserve">Адрес местонахождения постоянно действующего исполнительного органа ЮЛ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</w:t>
            </w:r>
            <w:r>
              <w:rPr>
                <w:rFonts w:ascii="Garamond" w:hAnsi="Garamond"/>
                <w:color w:val="0000ff"/>
              </w:rPr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 xml:space="preserve">(далее - Субъект кредитной истории</w:t>
      </w:r>
      <w:r>
        <w:rPr>
          <w:color w:val="000000"/>
        </w:rPr>
        <w:t xml:space="preserve">), </w:t>
      </w:r>
      <w:r>
        <w:rPr>
          <w:color w:val="000000"/>
        </w:rPr>
        <w:t xml:space="preserve">в лице</w:t>
      </w:r>
      <w:r>
        <w:rPr>
          <w:color w:val="000000"/>
        </w:rPr>
        <w:t xml:space="preserve"> </w:t>
      </w:r>
      <w:r>
        <w:rPr>
          <w:bCs/>
          <w:i/>
          <w:iCs/>
          <w:color w:val="000000"/>
          <w:shd w:val="clear" w:color="auto" w:fill="d9d9d9"/>
        </w:rPr>
        <w:t xml:space="preserve">___________________________</w:t>
      </w:r>
      <w:r>
        <w:rPr>
          <w:color w:val="000000"/>
        </w:rPr>
        <w:t xml:space="preserve">, </w:t>
      </w:r>
      <w:r>
        <w:rPr>
          <w:color w:val="000000"/>
        </w:rPr>
        <w:t xml:space="preserve">действующего на основании Устава,</w:t>
      </w:r>
      <w:r>
        <w:rPr>
          <w:color w:val="000000"/>
        </w:rPr>
        <w:t xml:space="preserve"> </w:t>
      </w:r>
      <w:r>
        <w:rPr>
          <w:color w:val="000000"/>
        </w:rPr>
        <w:t xml:space="preserve">предоставляет </w:t>
      </w:r>
      <w:r>
        <w:rPr>
          <w:color w:val="000000"/>
        </w:rPr>
        <w:t xml:space="preserve">ООО </w:t>
      </w:r>
      <w:r>
        <w:rPr>
          <w:color w:val="000000"/>
        </w:rPr>
        <w:t xml:space="preserve">«</w:t>
      </w:r>
      <w:r>
        <w:rPr>
          <w:color w:val="000000"/>
        </w:rPr>
        <w:t xml:space="preserve">ФК Бизнес Актив</w:t>
      </w:r>
      <w:r>
        <w:rPr>
          <w:color w:val="000000"/>
        </w:rPr>
        <w:t xml:space="preserve">» (ОГРН </w:t>
      </w:r>
      <w:r>
        <w:t xml:space="preserve">1105042007806</w:t>
      </w:r>
      <w:r>
        <w:rPr>
          <w:color w:val="000000"/>
        </w:rPr>
        <w:t xml:space="preserve">, адрес: </w:t>
      </w:r>
      <w:r>
        <w:t xml:space="preserve">101000, РФ, г. Москва, ул. Маросейка, д.9/2, стр.1, помещ. 1/П</w:t>
      </w:r>
      <w:r>
        <w:rPr>
          <w:color w:val="000000"/>
        </w:rPr>
        <w:t xml:space="preserve">) (далее – </w:t>
      </w:r>
      <w:r>
        <w:rPr>
          <w:color w:val="000000"/>
        </w:rPr>
        <w:t xml:space="preserve">Компания</w:t>
      </w:r>
      <w:r>
        <w:rPr>
          <w:color w:val="000000"/>
        </w:rPr>
        <w:t xml:space="preserve">), а также его правопреемникам, в соответствии с Федеральным законом от 30</w:t>
      </w:r>
      <w:r>
        <w:rPr>
          <w:color w:val="000000"/>
        </w:rPr>
        <w:t xml:space="preserve"> декабря </w:t>
      </w:r>
      <w:r>
        <w:rPr>
          <w:color w:val="000000"/>
        </w:rPr>
        <w:t xml:space="preserve">2004</w:t>
      </w:r>
      <w:r>
        <w:rPr>
          <w:color w:val="000000"/>
        </w:rPr>
        <w:t xml:space="preserve"> г.</w:t>
      </w:r>
      <w:r>
        <w:rPr>
          <w:color w:val="000000"/>
        </w:rPr>
        <w:t xml:space="preserve"> № 218-ФЗ «О кредитных историях»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запрос данных (получение кредитного отчета)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отношении Субъекта кредитной истории в бюро кредитных историй в любых целях, включая</w:t>
      </w:r>
      <w:r>
        <w:rPr>
          <w:color w:val="000000"/>
        </w:rPr>
        <w:t xml:space="preserve"> </w:t>
      </w:r>
      <w:r>
        <w:rPr>
          <w:color w:val="000000"/>
        </w:rPr>
        <w:t xml:space="preserve"> следующи</w:t>
      </w:r>
      <w:r>
        <w:rPr>
          <w:color w:val="000000"/>
        </w:rPr>
        <w:t xml:space="preserve">е</w:t>
      </w:r>
      <w:r>
        <w:rPr>
          <w:color w:val="000000"/>
        </w:rPr>
        <w:t xml:space="preserve"> цел</w:t>
      </w:r>
      <w:r>
        <w:rPr>
          <w:color w:val="000000"/>
        </w:rPr>
        <w:t xml:space="preserve">и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принятие решения о возможности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 любых договоров между Субъектом кредитной истории и </w:t>
      </w:r>
      <w:r>
        <w:rPr>
          <w:color w:val="000000"/>
        </w:rPr>
        <w:t xml:space="preserve">Компанией </w:t>
      </w:r>
      <w:r>
        <w:rPr>
          <w:color w:val="000000"/>
        </w:rPr>
        <w:t xml:space="preserve">и</w:t>
      </w:r>
      <w:r>
        <w:rPr>
          <w:color w:val="000000"/>
        </w:rPr>
        <w:t xml:space="preserve"> (</w:t>
      </w:r>
      <w:r>
        <w:rPr>
          <w:color w:val="000000"/>
        </w:rPr>
        <w:t xml:space="preserve">или</w:t>
      </w:r>
      <w:r>
        <w:rPr>
          <w:color w:val="000000"/>
        </w:rPr>
        <w:t xml:space="preserve">)</w:t>
      </w:r>
      <w:r>
        <w:rPr>
          <w:color w:val="000000"/>
        </w:rPr>
        <w:t xml:space="preserve"> между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 лицами, являющимися материнскими, дочерними, зависимыми юридическими лицами по отношению к Субъекту кредитной истории, а также являющимися физическими лицами, входящими в состав участников</w:t>
      </w:r>
      <w:r>
        <w:rPr>
          <w:color w:val="000000"/>
        </w:rPr>
        <w:t xml:space="preserve">, </w:t>
      </w:r>
      <w:r>
        <w:rPr>
          <w:color w:val="000000"/>
        </w:rPr>
        <w:t xml:space="preserve">акционеров</w:t>
      </w:r>
      <w:r>
        <w:rPr>
          <w:color w:val="000000"/>
        </w:rPr>
        <w:t xml:space="preserve">, </w:t>
      </w:r>
      <w:r>
        <w:rPr>
          <w:color w:val="000000"/>
        </w:rPr>
        <w:t xml:space="preserve">органов управления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фактических бенефициаров Субъекта кредитной истории;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проведение финансового анализа, оценки платежеспособности, наличия и размера задолженности Субъекта кредитной истории перед третьими лицами, в т.ч. для формирования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предложений о предоставлении </w:t>
      </w:r>
      <w:r>
        <w:rPr>
          <w:color w:val="000000"/>
        </w:rPr>
        <w:t xml:space="preserve">факторинговых </w:t>
      </w:r>
      <w:r>
        <w:rPr>
          <w:color w:val="000000"/>
        </w:rPr>
        <w:t xml:space="preserve">продуктов.</w:t>
      </w:r>
      <w:r>
        <w:rPr>
          <w:color w:val="00000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2336"/>
        <w:gridCol w:w="2317"/>
        <w:gridCol w:w="2337"/>
      </w:tblGrid>
      <w:tr>
        <w:trPr/>
        <w:tblPrEx/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Настоящим я,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, дата рождения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</w:t>
            </w:r>
          </w:p>
        </w:tc>
      </w:tr>
      <w:tr>
        <w:trPr/>
        <w:tblPrEx/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место рождения:</w:t>
            </w:r>
          </w:p>
        </w:tc>
        <w:tc>
          <w:tcPr>
            <w:tcW w:w="7009" w:type="dxa"/>
            <w:gridSpan w:val="3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</w:p>
        </w:tc>
      </w:tr>
      <w:tr>
        <w:trPr/>
        <w:tblPrEx/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color w:val="000000"/>
              </w:rPr>
              <w:t xml:space="preserve">адрес регистрации:</w:t>
            </w:r>
          </w:p>
        </w:tc>
        <w:tc>
          <w:tcPr>
            <w:tcW w:w="7009" w:type="dxa"/>
            <w:gridSpan w:val="3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</w:p>
        </w:tc>
      </w:tr>
      <w:tr>
        <w:trPr/>
        <w:tblPrEx/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паспортные данные: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дата выдачи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  <w:tr>
        <w:trPr/>
        <w:tblPrEx/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выдан: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код подразделения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  <w:tr>
        <w:trPr/>
        <w:tblPrEx/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t xml:space="preserve">ИНН: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color w:val="000000"/>
              </w:rPr>
              <w:t xml:space="preserve">контактный телефон:</w:t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  <w:tr>
        <w:trPr/>
        <w:tblPrEx/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color w:val="000000"/>
              </w:rPr>
              <w:t xml:space="preserve">e-mail: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  <w:tc>
          <w:tcPr>
            <w:tcW w:w="2336" w:type="dxa"/>
            <w:shd w:val="clear" w:color="auto" w:fill="auto"/>
            <w:noWrap w:val="false"/>
            <w:textDirection w:val="lrTb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доп. 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елефон:</w:t>
            </w:r>
            <w:r>
              <w:rPr>
                <w:color w:val="000000"/>
              </w:rPr>
            </w:r>
          </w:p>
        </w:tc>
        <w:tc>
          <w:tcPr>
            <w:tcW w:w="2337" w:type="dxa"/>
            <w:shd w:val="clear" w:color="auto" w:fill="auto"/>
            <w:noWrap w:val="false"/>
            <w:textDirection w:val="lrTb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 xml:space="preserve">(далее – Субъект кредитной истории-2), </w:t>
      </w:r>
      <w:r>
        <w:rPr>
          <w:color w:val="000000"/>
        </w:rPr>
        <w:t xml:space="preserve">заявляю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о своем согласии </w:t>
      </w:r>
      <w:r>
        <w:rPr>
          <w:color w:val="000000"/>
        </w:rPr>
        <w:t xml:space="preserve">с</w:t>
      </w:r>
      <w:r>
        <w:rPr>
          <w:color w:val="000000"/>
        </w:rPr>
        <w:t xml:space="preserve"> </w:t>
      </w:r>
      <w:r>
        <w:rPr>
          <w:color w:val="000000"/>
        </w:rPr>
        <w:t xml:space="preserve">нижеследующим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Настоящим Субъект кредитной истории-2 в соответствии с Федеральным законом от </w:t>
      </w:r>
      <w:r>
        <w:rPr>
          <w:color w:val="000000"/>
        </w:rPr>
        <w:t xml:space="preserve">30</w:t>
      </w:r>
      <w:r>
        <w:rPr>
          <w:color w:val="000000"/>
        </w:rPr>
        <w:t xml:space="preserve"> декабря </w:t>
      </w:r>
      <w:r>
        <w:rPr>
          <w:color w:val="000000"/>
        </w:rPr>
        <w:t xml:space="preserve">2004</w:t>
      </w:r>
      <w:r>
        <w:rPr>
          <w:color w:val="000000"/>
        </w:rPr>
        <w:t xml:space="preserve"> г.</w:t>
      </w:r>
      <w:r>
        <w:rPr>
          <w:color w:val="000000"/>
        </w:rPr>
        <w:t xml:space="preserve"> № 218-ФЗ «О кредитных историях» предоставляет </w:t>
      </w:r>
      <w:r>
        <w:rPr>
          <w:color w:val="000000"/>
        </w:rPr>
        <w:t xml:space="preserve">Компани</w:t>
      </w:r>
      <w:r>
        <w:rPr>
          <w:color w:val="000000"/>
        </w:rPr>
        <w:t xml:space="preserve">, а также его правопреемникам,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запрос данных (получение кредитного отчета) </w:t>
      </w:r>
      <w:r>
        <w:rPr>
          <w:color w:val="000000"/>
        </w:rPr>
        <w:t xml:space="preserve">Компанией </w:t>
      </w:r>
      <w:r>
        <w:rPr>
          <w:color w:val="000000"/>
        </w:rPr>
        <w:t xml:space="preserve">в отношении Субъекта кредитной истории-2 в бюро кредитных историй в любых целях, включая следующи</w:t>
      </w:r>
      <w:r>
        <w:rPr>
          <w:color w:val="000000"/>
        </w:rPr>
        <w:t xml:space="preserve">е</w:t>
      </w:r>
      <w:r>
        <w:rPr>
          <w:color w:val="000000"/>
        </w:rPr>
        <w:t xml:space="preserve"> цел</w:t>
      </w:r>
      <w:r>
        <w:rPr>
          <w:color w:val="000000"/>
        </w:rPr>
        <w:t xml:space="preserve">и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принятие решения о возможности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 любых договоров между Субъектом кредитной истории-2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</w:t>
      </w:r>
      <w:r>
        <w:rPr>
          <w:color w:val="000000"/>
        </w:rPr>
        <w:t xml:space="preserve"> (</w:t>
      </w:r>
      <w:r>
        <w:rPr>
          <w:color w:val="000000"/>
        </w:rPr>
        <w:t xml:space="preserve">или</w:t>
      </w:r>
      <w:r>
        <w:rPr>
          <w:color w:val="000000"/>
        </w:rPr>
        <w:t xml:space="preserve">)</w:t>
      </w:r>
      <w:r>
        <w:rPr>
          <w:color w:val="000000"/>
        </w:rPr>
        <w:t xml:space="preserve"> между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 лицами, связанными с Субъектом кредитной истории-2, включая юридических лиц, в состав органов управления которых входит Субъект кредитной истории-2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является Субъект кредитной истории-2, а также включая супругов и родственников Субъекта кредитной истории-2;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проведение финансового анализа, оценки платежеспособности, наличия и размера задолженности Субъекта кредитной истории-2 перед третьими лицами, в том числе для формирования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предложений о предоставлении </w:t>
      </w:r>
      <w:r>
        <w:rPr>
          <w:color w:val="000000"/>
        </w:rPr>
        <w:t xml:space="preserve">факторинговых</w:t>
      </w:r>
      <w:r>
        <w:rPr>
          <w:color w:val="000000"/>
        </w:rPr>
        <w:t xml:space="preserve"> продуктов.</w:t>
      </w:r>
      <w:r>
        <w:rPr>
          <w:color w:val="000000"/>
        </w:rPr>
      </w:r>
    </w:p>
    <w:p>
      <w:pPr>
        <w:pStyle w:val="768"/>
        <w:jc w:val="both"/>
        <w:rPr>
          <w:color w:val="000000"/>
        </w:rPr>
      </w:pPr>
      <w:r>
        <w:rPr>
          <w:color w:val="000000"/>
        </w:rPr>
        <w:t xml:space="preserve">2. В соответствии с Федеральным законом от 27</w:t>
      </w:r>
      <w:r>
        <w:rPr>
          <w:color w:val="000000"/>
        </w:rPr>
        <w:t xml:space="preserve"> июля 20</w:t>
      </w:r>
      <w:r>
        <w:rPr>
          <w:color w:val="000000"/>
        </w:rPr>
        <w:t xml:space="preserve">06 </w:t>
      </w:r>
      <w:r>
        <w:rPr>
          <w:color w:val="000000"/>
        </w:rPr>
        <w:t xml:space="preserve">г. </w:t>
      </w:r>
      <w:r>
        <w:rPr>
          <w:color w:val="000000"/>
        </w:rPr>
        <w:t xml:space="preserve">№ 152-ФЗ «О персональных данных»  </w:t>
      </w:r>
      <w:r>
        <w:rPr>
          <w:color w:val="000000"/>
        </w:rPr>
        <w:t xml:space="preserve">я, Субъект кредитной истории – 2</w:t>
      </w:r>
      <w:r>
        <w:rPr>
          <w:color w:val="000000"/>
        </w:rPr>
        <w:t xml:space="preserve">,</w:t>
      </w:r>
      <w:r>
        <w:rPr>
          <w:color w:val="000000"/>
        </w:rPr>
        <w:t xml:space="preserve"> </w:t>
      </w:r>
      <w:r>
        <w:rPr>
          <w:color w:val="000000"/>
        </w:rPr>
        <w:t xml:space="preserve">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</w:t>
      </w:r>
      <w:r>
        <w:rPr>
          <w:color w:val="000000"/>
        </w:rPr>
        <w:t xml:space="preserve"> на осуществление со всеми персональными данными, указанными в настоящем Согласии, а также в представленных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документах, следующей обработки: сбор, запись, систематизация, накопление, уточнение (обновление, изменение), извлечение, использование, передача (распространен</w:t>
      </w:r>
      <w:r>
        <w:rPr>
          <w:color w:val="000000"/>
        </w:rPr>
        <w:t xml:space="preserve">ие, предоставление, доступ (в том числе при поручении обработки персональных данных третьим лицам), обезличивание, блокирование, удаление, уничтожение, хранение и перевозка (в том числе при поручении хранения и перевозки третьим лицам) (далее – обработка).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Я уведомлен и согласен с тем, что обработка персональных данных осуществляется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(и уполномоченными лицами) на бумажных и электронных носителях с использованием и без использования средств автоматизации. При этом целями предоставления и обработки персональных данных являются в том числе: принятие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кредитного или иного продукта, в том числе </w:t>
      </w:r>
      <w:r>
        <w:rPr>
          <w:color w:val="000000"/>
        </w:rPr>
        <w:t xml:space="preserve">путем автоматизированной обработки персональных данных; получение заключений, консультаций в любой форме, касающихся принятия указанного решения, исполнения договоров, заключенных с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мною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лицами, связанными со мною, включая юридических лиц, в состав органов управления которых я вхожу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являюсь, а также включая моего (-ю) супруга (-у) и родственников (далее – Договор); проверка достоверности сведений, указанных мной при обращении в </w:t>
      </w:r>
      <w:r>
        <w:rPr>
          <w:color w:val="000000"/>
        </w:rPr>
        <w:t xml:space="preserve">Компанию </w:t>
      </w:r>
      <w:r>
        <w:rPr>
          <w:color w:val="000000"/>
        </w:rPr>
        <w:t xml:space="preserve">и в предоставленных документах; совершение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</w:t>
      </w:r>
      <w:r>
        <w:rPr>
          <w:color w:val="000000"/>
        </w:rPr>
        <w:t xml:space="preserve">а осуществление банковских операций, также путем публичного размещения информации о возможности указанной уступки); истребование (погашение, взыскание) задолженности по Договору; хранение и перевозка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 в любые бюро кредитных историй во исполнение договоров оказания услуг, заключенных с такими бюро кредитных историй</w:t>
      </w:r>
      <w:r>
        <w:rPr>
          <w:color w:val="000000"/>
        </w:rPr>
        <w:t xml:space="preserve">, </w:t>
      </w:r>
      <w:r>
        <w:rPr>
          <w:color w:val="000000"/>
        </w:rPr>
        <w:t xml:space="preserve">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кредитоспособности).</w:t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  <w:t xml:space="preserve">Настоящим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обработку персональных данных, указанных в настоящем Согласии, а также в представленных документах в целях продвижения на рынке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 осуществления со мной прямых контактов с помощью средств связи. </w:t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  <w:t xml:space="preserve">Настоящее согласие на обработку персональных данных действует до полного исполнения обязательств по Договору перед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случае заключения такого Договора, а также в течение последующих 5 (пяти) лет, либо в течение 5 (пяти) лет с даты принятия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отрицательного решения по вопросу заключения Договора. По истечении указанного срока действие согласия считается продленным на каждые следующие 5 (Пять) лет при условии отсутствия 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сведений о его отзыве мной. В случае отзыва мной согласия уполномочиваю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уничтожить мои персональные данные, за исключением</w:t>
      </w:r>
      <w:r>
        <w:rPr>
          <w:color w:val="000000"/>
        </w:rPr>
        <w:t xml:space="preserve"> </w:t>
      </w:r>
      <w:r>
        <w:rPr>
          <w:color w:val="000000"/>
        </w:rPr>
        <w:t xml:space="preserve">персональных данных, дальнейшая обработка которых является обязанностью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, установленной законодательством Российской Федерации.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3. В случае указания в предоставленных в </w:t>
      </w:r>
      <w:r>
        <w:rPr>
          <w:color w:val="000000"/>
        </w:rPr>
        <w:t xml:space="preserve">Компанию </w:t>
      </w:r>
      <w:r>
        <w:rPr>
          <w:color w:val="000000"/>
        </w:rPr>
        <w:t xml:space="preserve">документах сведений о моем(-ей) супруге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иных лицах, подтверждаю, что мной получено их согласие на обработку мной (включая передачу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)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их персональных данных, им сообщена вся информация в соответствии с требованиями Федерального закона от </w:t>
      </w:r>
      <w:r>
        <w:rPr>
          <w:color w:val="000000"/>
        </w:rPr>
        <w:t xml:space="preserve">27</w:t>
      </w:r>
      <w:r>
        <w:rPr>
          <w:color w:val="000000"/>
        </w:rPr>
        <w:t xml:space="preserve"> июля 20</w:t>
      </w:r>
      <w:r>
        <w:rPr>
          <w:color w:val="000000"/>
        </w:rPr>
        <w:t xml:space="preserve">06 </w:t>
      </w:r>
      <w:r>
        <w:rPr>
          <w:color w:val="000000"/>
        </w:rPr>
        <w:t xml:space="preserve">г.</w:t>
      </w:r>
      <w:r>
        <w:rPr>
          <w:color w:val="000000"/>
        </w:rPr>
        <w:t xml:space="preserve"> № 152-ФЗ «О персональных данных». Настоящим поручаю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осуществлять обработку предоставленных персональных данных указанных лиц, в т.ч. с целью осуществления с ними контактов по вопросам, связанным с принятием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кредитного или иного продукта, в том числе путем автоматизированной обработки персональных данных; получением заключений, консультаций в любой форме, касающихся принятия указанного решения, исполнения договоров, заключенных с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мною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лицами, связанными со мною, включая юридических лиц, в состав органов управления которых я вхожу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являюсь, а также включая моего (-ю) супруга (-у) и родственников (далее – Договор); проверкой достоверности сведений, указанных мной при обращении в </w:t>
      </w:r>
      <w:r>
        <w:rPr>
          <w:color w:val="000000"/>
        </w:rPr>
        <w:t xml:space="preserve">Компанию </w:t>
      </w:r>
      <w:r>
        <w:rPr>
          <w:color w:val="000000"/>
        </w:rPr>
        <w:t xml:space="preserve">и в предоставленных документах; совершением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на осу</w:t>
      </w:r>
      <w:r>
        <w:rPr>
          <w:color w:val="000000"/>
        </w:rPr>
        <w:t xml:space="preserve">ществление банковских операций, также путем публичного размещения информации о возможности указанной уступки); истребованием (погашением, взысканием) задолженности по Договору; хранением и перевозкой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в любые бюро кредитных историй во ис</w:t>
      </w:r>
      <w:r>
        <w:rPr>
          <w:color w:val="000000"/>
        </w:rPr>
        <w:t xml:space="preserve">полнение договоров оказания услуг, заключенных с такими бюро кредитных историй, 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кредитоспособности), для чего обязываю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обеспечивать и соблюдать режим конфиденциальности и безопасности в отношении предоставленных персональных данных при их обработке, требования к защите персональных данных в соответствии с законодательством Российской Федерации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4. Настоящим также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(его работникам),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, согласие на передачу информации и обработку персональных данных в целях передачи информации, касающейся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исполнения</w:t>
      </w:r>
      <w:r>
        <w:rPr>
          <w:color w:val="000000"/>
        </w:rPr>
        <w:t xml:space="preserve"> и </w:t>
      </w:r>
      <w:r>
        <w:rPr>
          <w:color w:val="000000"/>
        </w:rPr>
        <w:t xml:space="preserve">прекращения Договора, а также передаваемой в целях продвижения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 осуществления прямых контактов со мной с помощью средств связи (включая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SMS-сообщений на сообщаемые мной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номера мобильных телефонов, передачу по сетям электросвязи, в т.ч. с использованием телефонной, факсимильной, подвижной радиотелефонной связи, сетей связи </w:t>
      </w:r>
      <w:r>
        <w:rPr>
          <w:color w:val="000000"/>
        </w:rPr>
        <w:t xml:space="preserve">"Интернет"), в т.ч. на передачу данных (предоставление, доступ)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указанных целях для передачи информации. Срок действия настоящего согласия: 15 лет.</w:t>
      </w:r>
      <w:r>
        <w:rPr>
          <w:color w:val="000000"/>
        </w:rPr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860"/>
        <w:gridCol w:w="2000"/>
        <w:gridCol w:w="1780"/>
        <w:gridCol w:w="1460"/>
        <w:gridCol w:w="2681"/>
      </w:tblGrid>
      <w:tr>
        <w:trPr>
          <w:trHeight w:val="300"/>
        </w:trPr>
        <w:tblPrEx/>
        <w:tc>
          <w:tcPr>
            <w:tcW w:w="9781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ind w:right="49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</w:t>
            </w:r>
            <w:r>
              <w:rPr>
                <w:color w:val="000000"/>
              </w:rPr>
            </w:r>
          </w:p>
        </w:tc>
      </w:tr>
      <w:tr>
        <w:trPr>
          <w:trHeight w:val="300"/>
        </w:trPr>
        <w:tblPrEx/>
        <w:tc>
          <w:tcPr>
            <w:tcW w:w="9781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/>
            <w:textDirection w:val="lrTb"/>
          </w:tcPr>
          <w:p>
            <w:pPr>
              <w:ind w:right="49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Должность исполнительного органа, наименование ЮЛ     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/>
        </w:trPr>
        <w:tblPrEx/>
        <w:tc>
          <w:tcPr>
            <w:tcW w:w="18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ind w:right="49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00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ind w:right="492"/>
              <w:jc w:val="both"/>
            </w:pP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ind w:right="492"/>
              <w:jc w:val="both"/>
            </w:pPr>
          </w:p>
        </w:tc>
        <w:tc>
          <w:tcPr>
            <w:tcW w:w="14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ind w:right="492"/>
              <w:jc w:val="both"/>
            </w:pPr>
          </w:p>
        </w:tc>
        <w:tc>
          <w:tcPr>
            <w:tcW w:w="2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ind w:right="492"/>
              <w:jc w:val="both"/>
            </w:pPr>
          </w:p>
        </w:tc>
      </w:tr>
      <w:tr>
        <w:trPr>
          <w:trHeight w:val="300"/>
        </w:trPr>
        <w:tblPrEx/>
        <w:tc>
          <w:tcPr>
            <w:tcW w:w="9781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ind w:right="49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 /____________________/</w:t>
            </w:r>
            <w:r>
              <w:rPr>
                <w:color w:val="000000"/>
              </w:rPr>
            </w:r>
          </w:p>
        </w:tc>
      </w:tr>
      <w:tr>
        <w:trPr>
          <w:trHeight w:val="252"/>
        </w:trPr>
        <w:tblPrEx/>
        <w:tc>
          <w:tcPr>
            <w:tcW w:w="9781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ind w:right="49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Ф.И.О. исполнительного органа (полностью)</w:t>
            </w:r>
            <w:r>
              <w:rPr>
                <w:color w:val="000000"/>
                <w:sz w:val="16"/>
                <w:szCs w:val="16"/>
              </w:rPr>
              <w:t xml:space="preserve"> и </w:t>
            </w:r>
            <w:r>
              <w:rPr>
                <w:color w:val="000000"/>
                <w:sz w:val="16"/>
                <w:szCs w:val="16"/>
              </w:rPr>
              <w:t xml:space="preserve">подпись</w:t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</w:pPr>
    </w:p>
    <w:p>
      <w:pPr>
        <w:jc w:val="both"/>
        <w:rPr>
          <w:i/>
          <w:color w:val="0000ff"/>
        </w:rPr>
      </w:pPr>
      <w:r>
        <w:rPr>
          <w:i/>
          <w:color w:val="0000ff"/>
        </w:rPr>
        <w:t xml:space="preserve">Абзац ниже указывается при оформлении Согласия на бумажном носителе, кроме клиентов Корпоративного бизнеса ГО</w:t>
      </w:r>
      <w:r>
        <w:rPr>
          <w:i/>
          <w:color w:val="0000ff"/>
        </w:rPr>
      </w:r>
    </w:p>
    <w:p>
      <w:pPr>
        <w:jc w:val="both"/>
      </w:pPr>
      <w:r>
        <w:t xml:space="preserve">Я, __ </w:t>
      </w:r>
      <w:r>
        <w:rPr>
          <w:i/>
          <w:color w:val="0000ff"/>
        </w:rPr>
        <w:t xml:space="preserve">(указывается фамилия, имя, отчество и должность работника </w:t>
      </w:r>
      <w:r>
        <w:rPr>
          <w:i/>
          <w:color w:val="0000ff"/>
        </w:rPr>
        <w:t xml:space="preserve">Компании</w:t>
      </w:r>
      <w:r>
        <w:rPr>
          <w:i/>
          <w:color w:val="0000ff"/>
        </w:rPr>
        <w:t xml:space="preserve">)</w:t>
      </w:r>
      <w:r>
        <w:rPr>
          <w:i/>
        </w:rPr>
        <w:t xml:space="preserve"> </w:t>
      </w:r>
      <w:r>
        <w:t xml:space="preserve">свидетельствую подписание настоящего согласия в моем присутствии следующим лицом_________________ </w:t>
      </w:r>
      <w:r>
        <w:rPr>
          <w:i/>
          <w:color w:val="0000ff"/>
        </w:rPr>
        <w:t xml:space="preserve">(указывается фамилия, имя и отчество лица, подписавшего согласие со стороны Клиента)</w:t>
      </w:r>
      <w:r>
        <w:rPr>
          <w:i/>
        </w:rPr>
        <w:t xml:space="preserve">,</w:t>
      </w:r>
      <w:r>
        <w:t xml:space="preserve"> личность которого мной установлена на основании ________________________ </w:t>
      </w:r>
      <w:r>
        <w:rPr>
          <w:i/>
          <w:color w:val="0000ff"/>
        </w:rPr>
        <w:t xml:space="preserve">(указывается документ, удостоверяющий личность лица, подписывающег</w:t>
      </w:r>
      <w:bookmarkStart w:id="1" w:name="_GoBack"/>
      <w:bookmarkEnd w:id="1"/>
      <w:r>
        <w:rPr>
          <w:i/>
          <w:color w:val="0000ff"/>
        </w:rPr>
        <w:t xml:space="preserve">о согласие)</w:t>
      </w:r>
      <w:r>
        <w:t xml:space="preserve">. Подпись: ___________________.</w:t>
      </w:r>
    </w:p>
    <w:sectPr>
      <w:footnotePr/>
      <w:endnotePr/>
      <w:type w:val="nextPage"/>
      <w:pgSz w:w="11905" w:h="16837" w:orient="portrait"/>
      <w:pgMar w:top="851" w:right="1418" w:bottom="1418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502040504020204"/>
  </w:font>
  <w:font w:name="Baltica">
    <w:panose1 w:val="02000603000000000000"/>
  </w:font>
  <w:font w:name="Times New Roman">
    <w:panose1 w:val="02020603050405020304"/>
  </w:font>
  <w:font w:name="Tahoma">
    <w:panose1 w:val="020B0604030504040204"/>
  </w:font>
  <w:font w:name="DejaVu LGC Sans">
    <w:panose1 w:val="02000603000000000000"/>
  </w:font>
  <w:font w:name="StarSymbol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none"/>
      <w:pStyle w:val="677"/>
      <w:isLgl w:val="false"/>
      <w:suff w:val="nothing"/>
      <w:lvlText w:val="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none"/>
      <w:isLgl w:val="false"/>
      <w:suff w:val="nothing"/>
      <w:lvlText w:val="."/>
      <w:lvlJc w:val="left"/>
      <w:pPr>
        <w:tabs>
          <w:tab w:val="num" w:pos="1440" w:leader="none"/>
        </w:tabs>
        <w:ind w:left="1440" w:hanging="360"/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..%3"/>
      <w:lvlJc w:val="left"/>
      <w:pPr>
        <w:tabs>
          <w:tab w:val="num" w:pos="2880" w:leader="none"/>
        </w:tabs>
        <w:ind w:left="2880" w:hanging="720"/>
      </w:pPr>
    </w:lvl>
    <w:lvl w:ilvl="3">
      <w:start w:val="1"/>
      <w:numFmt w:val="decimal"/>
      <w:isLgl w:val="false"/>
      <w:suff w:val="tab"/>
      <w:lvlText w:val="...%4"/>
      <w:lvlJc w:val="left"/>
      <w:pPr>
        <w:tabs>
          <w:tab w:val="num" w:pos="3960" w:leader="none"/>
        </w:tabs>
        <w:ind w:left="3960" w:hanging="720"/>
      </w:pPr>
    </w:lvl>
    <w:lvl w:ilvl="4">
      <w:start w:val="1"/>
      <w:numFmt w:val="decimal"/>
      <w:isLgl w:val="false"/>
      <w:suff w:val="tab"/>
      <w:lvlText w:val="....%5"/>
      <w:lvlJc w:val="left"/>
      <w:pPr>
        <w:tabs>
          <w:tab w:val="num" w:pos="5400" w:leader="none"/>
        </w:tabs>
        <w:ind w:left="5400" w:hanging="1080"/>
      </w:pPr>
    </w:lvl>
    <w:lvl w:ilvl="5">
      <w:start w:val="1"/>
      <w:numFmt w:val="decimal"/>
      <w:isLgl w:val="false"/>
      <w:suff w:val="tab"/>
      <w:lvlText w:val=".......%6"/>
      <w:lvlJc w:val="left"/>
      <w:pPr>
        <w:tabs>
          <w:tab w:val="num" w:pos="6480" w:leader="none"/>
        </w:tabs>
        <w:ind w:left="6480" w:hanging="1080"/>
      </w:pPr>
    </w:lvl>
    <w:lvl w:ilvl="6">
      <w:start w:val="1"/>
      <w:numFmt w:val="decimal"/>
      <w:isLgl w:val="false"/>
      <w:suff w:val="tab"/>
      <w:lvlText w:val="..........%7"/>
      <w:lvlJc w:val="left"/>
      <w:pPr>
        <w:tabs>
          <w:tab w:val="num" w:pos="7920" w:leader="none"/>
        </w:tabs>
        <w:ind w:left="7920" w:hanging="1440"/>
      </w:pPr>
    </w:lvl>
    <w:lvl w:ilvl="7">
      <w:start w:val="1"/>
      <w:numFmt w:val="decimal"/>
      <w:isLgl w:val="false"/>
      <w:suff w:val="tab"/>
      <w:lvlText w:val=".........%8...."/>
      <w:lvlJc w:val="left"/>
      <w:pPr>
        <w:tabs>
          <w:tab w:val="num" w:pos="9000" w:leader="none"/>
        </w:tabs>
        <w:ind w:left="9000" w:hanging="1440"/>
      </w:pPr>
    </w:lvl>
    <w:lvl w:ilvl="8">
      <w:start w:val="1"/>
      <w:numFmt w:val="decimal"/>
      <w:isLgl w:val="false"/>
      <w:suff w:val="tab"/>
      <w:lvlText w:val=".........%7.%8.%9....."/>
      <w:lvlJc w:val="left"/>
      <w:pPr>
        <w:tabs>
          <w:tab w:val="num" w:pos="10440" w:leader="none"/>
        </w:tabs>
        <w:ind w:left="10440" w:hanging="180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  <w:color w:val="auto"/>
      </w:rPr>
    </w:lvl>
    <w:lvl w:ilvl="1">
      <w:start w:val="1"/>
      <w:numFmt w:val="bullet"/>
      <w:pStyle w:val="774"/>
      <w:isLgl w:val="false"/>
      <w:suff w:val="tab"/>
      <w:lvlText w:val="–"/>
      <w:lvlJc w:val="left"/>
      <w:pPr>
        <w:tabs>
          <w:tab w:val="num" w:pos="2126" w:leader="none"/>
        </w:tabs>
        <w:ind w:left="2126" w:hanging="708"/>
      </w:pPr>
      <w:rPr>
        <w:rFonts w:hint="default" w:ascii="Times New Roman" w:hAnsi="Times New Roman" w:cs="Times New Roman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29" w:leader="none"/>
        </w:tabs>
        <w:ind w:left="1429" w:hanging="720"/>
      </w:pPr>
      <w:rPr>
        <w:rFonts w:hint="default"/>
        <w:b/>
      </w:rPr>
    </w:lvl>
    <w:lvl w:ilvl="1">
      <w:start w:val="6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pStyle w:val="771"/>
      <w:isLgl w:val="false"/>
      <w:suff w:val="tab"/>
      <w:lvlText w:val=""/>
      <w:lvlJc w:val="left"/>
      <w:pPr>
        <w:tabs>
          <w:tab w:val="num" w:pos="1418" w:leader="none"/>
        </w:tabs>
        <w:ind w:left="1418" w:hanging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2160" w:leader="none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600" w:leader="none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20" w:leader="none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60" w:leader="none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80" w:leader="none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200" w:leader="none"/>
        </w:tabs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pStyle w:val="775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9"/>
    <w:link w:val="730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9"/>
    <w:link w:val="739"/>
    <w:uiPriority w:val="99"/>
  </w:style>
  <w:style w:type="character" w:styleId="45">
    <w:name w:val="Footer Char"/>
    <w:basedOn w:val="679"/>
    <w:link w:val="740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0"/>
    <w:uiPriority w:val="99"/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0"/>
    <w:uiPriority w:val="99"/>
    <w:rPr>
      <w:sz w:val="18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eastAsia="ar-SA"/>
    </w:rPr>
  </w:style>
  <w:style w:type="paragraph" w:styleId="677">
    <w:name w:val="Heading 1"/>
    <w:basedOn w:val="676"/>
    <w:next w:val="676"/>
    <w:qFormat/>
    <w:pPr>
      <w:keepNext/>
      <w:numPr>
        <w:numId w:val="1"/>
        <w:ilvl w:val="0"/>
      </w:numPr>
      <w:jc w:val="center"/>
      <w:outlineLvl w:val="0"/>
    </w:pPr>
    <w:rPr>
      <w:rFonts w:ascii="Arial" w:hAnsi="Arial" w:cs="Arial"/>
      <w:b/>
      <w:bCs/>
      <w:sz w:val="48"/>
      <w:szCs w:val="24"/>
    </w:rPr>
  </w:style>
  <w:style w:type="paragraph" w:styleId="678">
    <w:name w:val="Heading 2"/>
    <w:basedOn w:val="676"/>
    <w:next w:val="67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WW8Num1z1"/>
    <w:rPr>
      <w:rFonts w:ascii="Symbol" w:hAnsi="Symbol"/>
    </w:rPr>
  </w:style>
  <w:style w:type="character" w:styleId="683" w:customStyle="1">
    <w:name w:val="WW8Num2z0"/>
    <w:rPr>
      <w:rFonts w:ascii="Symbol" w:hAnsi="Symbol"/>
    </w:rPr>
  </w:style>
  <w:style w:type="character" w:styleId="684" w:customStyle="1">
    <w:name w:val="Основной шрифт абзаца3"/>
  </w:style>
  <w:style w:type="character" w:styleId="685" w:customStyle="1">
    <w:name w:val="Absatz-Standardschriftart"/>
  </w:style>
  <w:style w:type="character" w:styleId="686" w:customStyle="1">
    <w:name w:val="WW-Absatz-Standardschriftart"/>
  </w:style>
  <w:style w:type="character" w:styleId="687" w:customStyle="1">
    <w:name w:val="WW-Absatz-Standardschriftart1"/>
  </w:style>
  <w:style w:type="character" w:styleId="688" w:customStyle="1">
    <w:name w:val="WW-Absatz-Standardschriftart11"/>
  </w:style>
  <w:style w:type="character" w:styleId="689" w:customStyle="1">
    <w:name w:val="WW8Num2z1"/>
    <w:rPr>
      <w:rFonts w:ascii="Courier New" w:hAnsi="Courier New" w:cs="Courier New"/>
    </w:rPr>
  </w:style>
  <w:style w:type="character" w:styleId="690" w:customStyle="1">
    <w:name w:val="WW8Num3z1"/>
    <w:rPr>
      <w:rFonts w:ascii="Courier New" w:hAnsi="Courier New" w:cs="Courier New"/>
    </w:rPr>
  </w:style>
  <w:style w:type="character" w:styleId="691" w:customStyle="1">
    <w:name w:val="WW8Num4z0"/>
    <w:rPr>
      <w:rFonts w:ascii="Symbol" w:hAnsi="Symbol"/>
    </w:rPr>
  </w:style>
  <w:style w:type="character" w:styleId="692" w:customStyle="1">
    <w:name w:val="WW8Num6z1"/>
    <w:rPr>
      <w:rFonts w:ascii="Courier New" w:hAnsi="Courier New" w:cs="Courier New"/>
    </w:rPr>
  </w:style>
  <w:style w:type="character" w:styleId="693" w:customStyle="1">
    <w:name w:val="WW8Num7z0"/>
    <w:rPr>
      <w:rFonts w:ascii="Symbol" w:hAnsi="Symbol"/>
    </w:rPr>
  </w:style>
  <w:style w:type="character" w:styleId="694" w:customStyle="1">
    <w:name w:val="WW-Absatz-Standardschriftart111"/>
  </w:style>
  <w:style w:type="character" w:styleId="695" w:customStyle="1">
    <w:name w:val="WW8Num3z0"/>
    <w:rPr>
      <w:rFonts w:ascii="Symbol" w:hAnsi="Symbol"/>
    </w:rPr>
  </w:style>
  <w:style w:type="character" w:styleId="696" w:customStyle="1">
    <w:name w:val="WW8Num3z2"/>
    <w:rPr>
      <w:rFonts w:ascii="Wingdings" w:hAnsi="Wingdings"/>
    </w:rPr>
  </w:style>
  <w:style w:type="character" w:styleId="697" w:customStyle="1">
    <w:name w:val="WW8Num3z3"/>
    <w:rPr>
      <w:rFonts w:ascii="Symbol" w:hAnsi="Symbol"/>
    </w:rPr>
  </w:style>
  <w:style w:type="character" w:styleId="698" w:customStyle="1">
    <w:name w:val="WW8Num4z1"/>
    <w:rPr>
      <w:rFonts w:ascii="Courier New" w:hAnsi="Courier New" w:cs="Courier New"/>
    </w:rPr>
  </w:style>
  <w:style w:type="character" w:styleId="699" w:customStyle="1">
    <w:name w:val="WW8Num5z0"/>
    <w:rPr>
      <w:rFonts w:ascii="Symbol" w:hAnsi="Symbol"/>
    </w:rPr>
  </w:style>
  <w:style w:type="character" w:styleId="700" w:customStyle="1">
    <w:name w:val="WW8Num5z1"/>
    <w:rPr>
      <w:rFonts w:ascii="Courier New" w:hAnsi="Courier New" w:cs="Courier New"/>
    </w:rPr>
  </w:style>
  <w:style w:type="character" w:styleId="701" w:customStyle="1">
    <w:name w:val="WW8Num5z2"/>
    <w:rPr>
      <w:rFonts w:ascii="Wingdings" w:hAnsi="Wingdings"/>
    </w:rPr>
  </w:style>
  <w:style w:type="character" w:styleId="702" w:customStyle="1">
    <w:name w:val="WW8Num6z0"/>
    <w:rPr>
      <w:rFonts w:ascii="Symbol" w:hAnsi="Symbol"/>
    </w:rPr>
  </w:style>
  <w:style w:type="character" w:styleId="703" w:customStyle="1">
    <w:name w:val="WW8Num8z1"/>
    <w:rPr>
      <w:rFonts w:ascii="Symbol" w:hAnsi="Symbol"/>
    </w:rPr>
  </w:style>
  <w:style w:type="character" w:styleId="704" w:customStyle="1">
    <w:name w:val="WW8Num9z0"/>
    <w:rPr>
      <w:b/>
    </w:rPr>
  </w:style>
  <w:style w:type="character" w:styleId="705" w:customStyle="1">
    <w:name w:val="WW8Num10z0"/>
    <w:rPr>
      <w:rFonts w:ascii="Symbol" w:hAnsi="Symbol"/>
    </w:rPr>
  </w:style>
  <w:style w:type="character" w:styleId="706" w:customStyle="1">
    <w:name w:val="WW8Num10z1"/>
    <w:rPr>
      <w:rFonts w:ascii="Courier New" w:hAnsi="Courier New" w:cs="Courier New"/>
    </w:rPr>
  </w:style>
  <w:style w:type="character" w:styleId="707" w:customStyle="1">
    <w:name w:val="WW8Num10z2"/>
    <w:rPr>
      <w:rFonts w:ascii="Wingdings" w:hAnsi="Wingdings"/>
    </w:rPr>
  </w:style>
  <w:style w:type="character" w:styleId="708" w:customStyle="1">
    <w:name w:val="WW8Num11z0"/>
    <w:rPr>
      <w:rFonts w:ascii="Symbol" w:hAnsi="Symbol"/>
    </w:rPr>
  </w:style>
  <w:style w:type="character" w:styleId="709" w:customStyle="1">
    <w:name w:val="WW8Num11z1"/>
    <w:rPr>
      <w:rFonts w:ascii="Courier New" w:hAnsi="Courier New" w:cs="Courier New"/>
    </w:rPr>
  </w:style>
  <w:style w:type="character" w:styleId="710" w:customStyle="1">
    <w:name w:val="WW8Num11z2"/>
    <w:rPr>
      <w:rFonts w:ascii="Wingdings" w:hAnsi="Wingdings"/>
    </w:rPr>
  </w:style>
  <w:style w:type="character" w:styleId="711" w:customStyle="1">
    <w:name w:val="WW8Num12z0"/>
    <w:rPr>
      <w:b/>
    </w:rPr>
  </w:style>
  <w:style w:type="character" w:styleId="712" w:customStyle="1">
    <w:name w:val="WW8Num13z0"/>
    <w:rPr>
      <w:b/>
    </w:rPr>
  </w:style>
  <w:style w:type="character" w:styleId="713" w:customStyle="1">
    <w:name w:val="WW8Num14z0"/>
    <w:rPr>
      <w:rFonts w:ascii="Courier New" w:hAnsi="Courier New" w:cs="Courier New"/>
    </w:rPr>
  </w:style>
  <w:style w:type="character" w:styleId="714" w:customStyle="1">
    <w:name w:val="WW8Num14z2"/>
    <w:rPr>
      <w:rFonts w:ascii="Wingdings" w:hAnsi="Wingdings"/>
    </w:rPr>
  </w:style>
  <w:style w:type="character" w:styleId="715" w:customStyle="1">
    <w:name w:val="WW8Num14z3"/>
    <w:rPr>
      <w:rFonts w:ascii="Symbol" w:hAnsi="Symbol"/>
    </w:rPr>
  </w:style>
  <w:style w:type="character" w:styleId="716" w:customStyle="1">
    <w:name w:val="Основной шрифт абзаца2"/>
  </w:style>
  <w:style w:type="character" w:styleId="717" w:customStyle="1">
    <w:name w:val="WW8Num2z2"/>
    <w:rPr>
      <w:rFonts w:ascii="Wingdings" w:hAnsi="Wingdings"/>
    </w:rPr>
  </w:style>
  <w:style w:type="character" w:styleId="718" w:customStyle="1">
    <w:name w:val="WW8Num4z2"/>
    <w:rPr>
      <w:rFonts w:ascii="Wingdings" w:hAnsi="Wingdings"/>
    </w:rPr>
  </w:style>
  <w:style w:type="character" w:styleId="719" w:customStyle="1">
    <w:name w:val="WW8Num6z2"/>
    <w:rPr>
      <w:rFonts w:ascii="Wingdings" w:hAnsi="Wingdings"/>
    </w:rPr>
  </w:style>
  <w:style w:type="character" w:styleId="720" w:customStyle="1">
    <w:name w:val="Основной шрифт абзаца1"/>
  </w:style>
  <w:style w:type="character" w:styleId="721" w:customStyle="1">
    <w:name w:val="Обычный 11"/>
    <w:rPr>
      <w:sz w:val="22"/>
    </w:rPr>
  </w:style>
  <w:style w:type="character" w:styleId="722">
    <w:name w:val="Hyperlink"/>
    <w:uiPriority w:val="99"/>
    <w:rPr>
      <w:color w:val="0000ff"/>
      <w:u w:val="single"/>
    </w:rPr>
  </w:style>
  <w:style w:type="character" w:styleId="723" w:customStyle="1">
    <w:name w:val="Символ сноски"/>
    <w:rPr>
      <w:vertAlign w:val="superscript"/>
    </w:rPr>
  </w:style>
  <w:style w:type="character" w:styleId="724" w:customStyle="1">
    <w:name w:val="Знак сноски1"/>
    <w:rPr>
      <w:vertAlign w:val="superscript"/>
    </w:rPr>
  </w:style>
  <w:style w:type="character" w:styleId="725" w:customStyle="1">
    <w:name w:val="Символы концевой сноски"/>
    <w:rPr>
      <w:vertAlign w:val="superscript"/>
    </w:rPr>
  </w:style>
  <w:style w:type="character" w:styleId="726" w:customStyle="1">
    <w:name w:val="WW-Символы концевой сноски"/>
  </w:style>
  <w:style w:type="character" w:styleId="727" w:customStyle="1">
    <w:name w:val="Знак концевой сноски1"/>
    <w:rPr>
      <w:vertAlign w:val="superscript"/>
    </w:rPr>
  </w:style>
  <w:style w:type="character" w:styleId="728" w:customStyle="1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729" w:customStyle="1">
    <w:name w:val="Символ нумерации"/>
  </w:style>
  <w:style w:type="paragraph" w:styleId="730">
    <w:name w:val="Title"/>
    <w:basedOn w:val="676"/>
    <w:next w:val="731"/>
    <w:pPr>
      <w:keepNext/>
      <w:spacing w:before="240" w:after="120"/>
    </w:pPr>
    <w:rPr>
      <w:rFonts w:eastAsia="DejaVu LGC Sans" w:cs="Tahoma"/>
      <w:sz w:val="28"/>
      <w:szCs w:val="28"/>
    </w:rPr>
  </w:style>
  <w:style w:type="paragraph" w:styleId="731">
    <w:name w:val="Body Text"/>
    <w:basedOn w:val="676"/>
    <w:pPr>
      <w:spacing w:after="220" w:line="220" w:lineRule="atLeast"/>
      <w:jc w:val="both"/>
    </w:pPr>
    <w:rPr>
      <w:rFonts w:ascii="Arial" w:hAnsi="Arial"/>
      <w:spacing w:val="-5"/>
      <w:lang w:eastAsia="he-IL" w:bidi="he-IL"/>
    </w:rPr>
  </w:style>
  <w:style w:type="paragraph" w:styleId="732">
    <w:name w:val="List"/>
    <w:basedOn w:val="731"/>
    <w:rPr>
      <w:rFonts w:ascii="Times New Roman" w:hAnsi="Times New Roman" w:cs="Tahoma"/>
    </w:rPr>
  </w:style>
  <w:style w:type="paragraph" w:styleId="733" w:customStyle="1">
    <w:name w:val="Название3"/>
    <w:basedOn w:val="67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734" w:customStyle="1">
    <w:name w:val="Указатель3"/>
    <w:basedOn w:val="676"/>
    <w:pPr>
      <w:suppressLineNumbers/>
    </w:pPr>
    <w:rPr>
      <w:rFonts w:ascii="Arial" w:hAnsi="Arial" w:cs="Tahoma"/>
    </w:rPr>
  </w:style>
  <w:style w:type="paragraph" w:styleId="735" w:customStyle="1">
    <w:name w:val="Название2"/>
    <w:basedOn w:val="6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736" w:customStyle="1">
    <w:name w:val="Указатель2"/>
    <w:basedOn w:val="676"/>
    <w:pPr>
      <w:suppressLineNumbers/>
    </w:pPr>
    <w:rPr>
      <w:rFonts w:cs="Tahoma"/>
    </w:rPr>
  </w:style>
  <w:style w:type="paragraph" w:styleId="737" w:customStyle="1">
    <w:name w:val="Название1"/>
    <w:basedOn w:val="6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738" w:customStyle="1">
    <w:name w:val="Указатель1"/>
    <w:basedOn w:val="676"/>
    <w:pPr>
      <w:suppressLineNumbers/>
    </w:pPr>
    <w:rPr>
      <w:rFonts w:cs="Tahoma"/>
    </w:rPr>
  </w:style>
  <w:style w:type="paragraph" w:styleId="739">
    <w:name w:val="Header"/>
    <w:basedOn w:val="676"/>
    <w:link w:val="777"/>
    <w:uiPriority w:val="99"/>
    <w:pPr>
      <w:tabs>
        <w:tab w:val="center" w:pos="4677" w:leader="none"/>
        <w:tab w:val="right" w:pos="9355" w:leader="none"/>
      </w:tabs>
    </w:pPr>
  </w:style>
  <w:style w:type="paragraph" w:styleId="740">
    <w:name w:val="Footer"/>
    <w:basedOn w:val="676"/>
    <w:link w:val="778"/>
    <w:uiPriority w:val="99"/>
    <w:pPr>
      <w:tabs>
        <w:tab w:val="center" w:pos="4677" w:leader="none"/>
        <w:tab w:val="right" w:pos="9355" w:leader="none"/>
      </w:tabs>
    </w:pPr>
  </w:style>
  <w:style w:type="paragraph" w:styleId="741" w:customStyle="1">
    <w:name w:val="Название документа 2"/>
    <w:basedOn w:val="676"/>
    <w:pPr>
      <w:spacing w:before="60" w:after="60"/>
      <w:jc w:val="center"/>
    </w:pPr>
    <w:rPr>
      <w:b/>
      <w:bCs/>
      <w:sz w:val="28"/>
    </w:rPr>
  </w:style>
  <w:style w:type="paragraph" w:styleId="742" w:customStyle="1">
    <w:name w:val="Название документа 1"/>
    <w:basedOn w:val="676"/>
    <w:pPr>
      <w:spacing w:before="60" w:after="60"/>
      <w:jc w:val="center"/>
    </w:pPr>
    <w:rPr>
      <w:b/>
      <w:bCs/>
      <w:sz w:val="44"/>
    </w:rPr>
  </w:style>
  <w:style w:type="paragraph" w:styleId="743">
    <w:name w:val="toc 7"/>
    <w:basedOn w:val="676"/>
    <w:next w:val="676"/>
    <w:semiHidden/>
    <w:pPr>
      <w:ind w:left="1000"/>
    </w:pPr>
  </w:style>
  <w:style w:type="paragraph" w:styleId="744" w:customStyle="1">
    <w:name w:val="Знак Знак Знак 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45" w:customStyle="1">
    <w:name w:val="Normal letter"/>
    <w:basedOn w:val="676"/>
    <w:pPr>
      <w:jc w:val="both"/>
    </w:pPr>
    <w:rPr>
      <w:rFonts w:ascii="Baltica" w:hAnsi="Baltica"/>
      <w:sz w:val="24"/>
      <w:szCs w:val="24"/>
      <w:lang w:val="en-US"/>
    </w:rPr>
  </w:style>
  <w:style w:type="paragraph" w:styleId="746" w:customStyle="1">
    <w:name w:val="Содержимое таблицы"/>
    <w:basedOn w:val="676"/>
    <w:pPr>
      <w:suppressLineNumbers/>
    </w:pPr>
  </w:style>
  <w:style w:type="paragraph" w:styleId="747" w:customStyle="1">
    <w:name w:val="Заголовок таблицы"/>
    <w:basedOn w:val="746"/>
    <w:pPr>
      <w:jc w:val="center"/>
    </w:pPr>
    <w:rPr>
      <w:b/>
      <w:bCs/>
    </w:rPr>
  </w:style>
  <w:style w:type="paragraph" w:styleId="748">
    <w:name w:val="Balloon Text"/>
    <w:basedOn w:val="676"/>
    <w:rPr>
      <w:rFonts w:ascii="Tahoma" w:hAnsi="Tahoma" w:cs="Tahoma"/>
      <w:sz w:val="16"/>
      <w:szCs w:val="16"/>
    </w:rPr>
  </w:style>
  <w:style w:type="paragraph" w:styleId="749" w:customStyle="1">
    <w:name w:val="Знак Знак Знак Знак1 Знак Знак 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50">
    <w:name w:val="footnote text"/>
    <w:basedOn w:val="676"/>
    <w:link w:val="781"/>
  </w:style>
  <w:style w:type="paragraph" w:styleId="751" w:customStyle="1">
    <w:name w:val="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52" w:customStyle="1">
    <w:name w:val="Знак Знак Знак Знак Знак Знак Знак Знак Знак1 Знак"/>
    <w:basedOn w:val="676"/>
    <w:pPr>
      <w:spacing w:after="160" w:line="240" w:lineRule="exact"/>
    </w:pPr>
    <w:rPr>
      <w:rFonts w:ascii="Tahoma" w:hAnsi="Tahoma"/>
      <w:lang w:val="en-US"/>
    </w:rPr>
  </w:style>
  <w:style w:type="paragraph" w:styleId="753">
    <w:name w:val="toc 1"/>
    <w:basedOn w:val="676"/>
    <w:next w:val="676"/>
    <w:uiPriority w:val="39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754" w:customStyle="1">
    <w:name w:val="обыч2"/>
    <w:basedOn w:val="676"/>
    <w:pPr>
      <w:tabs>
        <w:tab w:val="left" w:pos="1418" w:leader="none"/>
      </w:tabs>
      <w:ind w:firstLine="709"/>
      <w:jc w:val="both"/>
    </w:pPr>
    <w:rPr>
      <w:sz w:val="24"/>
      <w:szCs w:val="24"/>
    </w:rPr>
  </w:style>
  <w:style w:type="paragraph" w:styleId="755" w:customStyle="1">
    <w:name w:val="обыч3"/>
    <w:basedOn w:val="676"/>
    <w:pPr>
      <w:tabs>
        <w:tab w:val="left" w:pos="1418" w:leader="none"/>
      </w:tabs>
      <w:ind w:firstLine="709"/>
      <w:jc w:val="both"/>
    </w:pPr>
    <w:rPr>
      <w:sz w:val="24"/>
      <w:szCs w:val="24"/>
    </w:rPr>
  </w:style>
  <w:style w:type="paragraph" w:styleId="756" w:customStyle="1">
    <w:name w:val="обыч4"/>
    <w:basedOn w:val="676"/>
    <w:pPr>
      <w:ind w:firstLine="709"/>
    </w:pPr>
  </w:style>
  <w:style w:type="paragraph" w:styleId="757">
    <w:name w:val="toc 2"/>
    <w:basedOn w:val="734"/>
    <w:uiPriority w:val="39"/>
    <w:pPr>
      <w:suppressLineNumbers w:val="0"/>
      <w:spacing w:before="240"/>
    </w:pPr>
    <w:rPr>
      <w:rFonts w:ascii="Times New Roman" w:hAnsi="Times New Roman" w:cs="Times New Roman"/>
      <w:b/>
      <w:bCs/>
    </w:rPr>
  </w:style>
  <w:style w:type="paragraph" w:styleId="758">
    <w:name w:val="toc 3"/>
    <w:basedOn w:val="734"/>
    <w:uiPriority w:val="39"/>
    <w:pPr>
      <w:suppressLineNumbers w:val="0"/>
      <w:ind w:left="200"/>
    </w:pPr>
    <w:rPr>
      <w:rFonts w:ascii="Times New Roman" w:hAnsi="Times New Roman" w:cs="Times New Roman"/>
    </w:rPr>
  </w:style>
  <w:style w:type="paragraph" w:styleId="759">
    <w:name w:val="toc 4"/>
    <w:basedOn w:val="734"/>
    <w:semiHidden/>
    <w:pPr>
      <w:suppressLineNumbers w:val="0"/>
      <w:ind w:left="400"/>
    </w:pPr>
    <w:rPr>
      <w:rFonts w:ascii="Times New Roman" w:hAnsi="Times New Roman" w:cs="Times New Roman"/>
    </w:rPr>
  </w:style>
  <w:style w:type="paragraph" w:styleId="760">
    <w:name w:val="toc 5"/>
    <w:basedOn w:val="734"/>
    <w:semiHidden/>
    <w:pPr>
      <w:suppressLineNumbers w:val="0"/>
      <w:ind w:left="600"/>
    </w:pPr>
    <w:rPr>
      <w:rFonts w:ascii="Times New Roman" w:hAnsi="Times New Roman" w:cs="Times New Roman"/>
    </w:rPr>
  </w:style>
  <w:style w:type="paragraph" w:styleId="761">
    <w:name w:val="toc 6"/>
    <w:basedOn w:val="734"/>
    <w:semiHidden/>
    <w:pPr>
      <w:suppressLineNumbers w:val="0"/>
      <w:ind w:left="800"/>
    </w:pPr>
    <w:rPr>
      <w:rFonts w:ascii="Times New Roman" w:hAnsi="Times New Roman" w:cs="Times New Roman"/>
    </w:rPr>
  </w:style>
  <w:style w:type="paragraph" w:styleId="762">
    <w:name w:val="toc 8"/>
    <w:basedOn w:val="734"/>
    <w:semiHidden/>
    <w:pPr>
      <w:suppressLineNumbers w:val="0"/>
      <w:ind w:left="1200"/>
    </w:pPr>
    <w:rPr>
      <w:rFonts w:ascii="Times New Roman" w:hAnsi="Times New Roman" w:cs="Times New Roman"/>
    </w:rPr>
  </w:style>
  <w:style w:type="paragraph" w:styleId="763">
    <w:name w:val="toc 9"/>
    <w:basedOn w:val="734"/>
    <w:semiHidden/>
    <w:pPr>
      <w:suppressLineNumbers w:val="0"/>
      <w:ind w:left="1400"/>
    </w:pPr>
    <w:rPr>
      <w:rFonts w:ascii="Times New Roman" w:hAnsi="Times New Roman" w:cs="Times New Roman"/>
    </w:rPr>
  </w:style>
  <w:style w:type="paragraph" w:styleId="764" w:customStyle="1">
    <w:name w:val="Оглавление 10"/>
    <w:basedOn w:val="734"/>
    <w:pPr>
      <w:tabs>
        <w:tab w:val="right" w:pos="9637" w:leader="dot"/>
      </w:tabs>
      <w:ind w:left="2547"/>
    </w:pPr>
  </w:style>
  <w:style w:type="character" w:styleId="765">
    <w:name w:val="page number"/>
    <w:basedOn w:val="679"/>
  </w:style>
  <w:style w:type="character" w:styleId="766">
    <w:name w:val="footnote reference"/>
    <w:rPr>
      <w:vertAlign w:val="superscript"/>
    </w:rPr>
  </w:style>
  <w:style w:type="character" w:styleId="767">
    <w:name w:val="annotation reference"/>
    <w:semiHidden/>
    <w:rPr>
      <w:sz w:val="16"/>
      <w:szCs w:val="16"/>
    </w:rPr>
  </w:style>
  <w:style w:type="paragraph" w:styleId="768">
    <w:name w:val="annotation text"/>
    <w:basedOn w:val="676"/>
    <w:semiHidden/>
  </w:style>
  <w:style w:type="paragraph" w:styleId="769">
    <w:name w:val="annotation subject"/>
    <w:basedOn w:val="768"/>
    <w:next w:val="768"/>
    <w:semiHidden/>
    <w:rPr>
      <w:b/>
      <w:bCs/>
    </w:rPr>
  </w:style>
  <w:style w:type="paragraph" w:styleId="770" w:customStyle="1">
    <w:name w:val="обыч без номера"/>
    <w:basedOn w:val="676"/>
    <w:pPr>
      <w:ind w:firstLine="1418"/>
      <w:jc w:val="both"/>
    </w:pPr>
    <w:rPr>
      <w:sz w:val="24"/>
      <w:szCs w:val="24"/>
      <w:lang w:eastAsia="ru-RU"/>
    </w:rPr>
  </w:style>
  <w:style w:type="paragraph" w:styleId="771" w:customStyle="1">
    <w:name w:val="марк1"/>
    <w:basedOn w:val="676"/>
    <w:pPr>
      <w:numPr>
        <w:numId w:val="2"/>
        <w:ilvl w:val="0"/>
      </w:numPr>
      <w:jc w:val="both"/>
    </w:pPr>
    <w:rPr>
      <w:sz w:val="24"/>
      <w:lang w:eastAsia="ru-RU"/>
    </w:rPr>
  </w:style>
  <w:style w:type="paragraph" w:styleId="772" w:customStyle="1">
    <w:name w:val="Название объекта1"/>
    <w:basedOn w:val="676"/>
    <w:next w:val="676"/>
    <w:rPr>
      <w:b/>
      <w:lang w:eastAsia="ru-RU"/>
    </w:rPr>
  </w:style>
  <w:style w:type="table" w:styleId="773">
    <w:name w:val="Table Grid"/>
    <w:basedOn w:val="6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4" w:customStyle="1">
    <w:name w:val="марк2"/>
    <w:basedOn w:val="676"/>
    <w:pPr>
      <w:numPr>
        <w:numId w:val="3"/>
        <w:ilvl w:val="1"/>
      </w:numPr>
      <w:jc w:val="both"/>
    </w:pPr>
    <w:rPr>
      <w:sz w:val="24"/>
      <w:szCs w:val="24"/>
      <w:lang w:eastAsia="ru-RU"/>
    </w:rPr>
  </w:style>
  <w:style w:type="paragraph" w:styleId="775" w:customStyle="1">
    <w:name w:val="Обычный список"/>
    <w:basedOn w:val="676"/>
    <w:link w:val="776"/>
    <w:pPr>
      <w:numPr>
        <w:numId w:val="4"/>
        <w:ilvl w:val="0"/>
      </w:numPr>
      <w:ind w:left="1066" w:hanging="357"/>
    </w:pPr>
    <w:rPr>
      <w:sz w:val="24"/>
      <w:szCs w:val="24"/>
      <w:lang w:eastAsia="ru-RU"/>
    </w:rPr>
  </w:style>
  <w:style w:type="character" w:styleId="776" w:customStyle="1">
    <w:name w:val="Обычный список Знак"/>
    <w:link w:val="775"/>
    <w:rPr>
      <w:sz w:val="24"/>
      <w:szCs w:val="24"/>
    </w:rPr>
  </w:style>
  <w:style w:type="character" w:styleId="777" w:customStyle="1">
    <w:name w:val="Верхний колонтитул Знак"/>
    <w:link w:val="739"/>
    <w:uiPriority w:val="99"/>
    <w:rPr>
      <w:lang w:eastAsia="ar-SA"/>
    </w:rPr>
  </w:style>
  <w:style w:type="character" w:styleId="778" w:customStyle="1">
    <w:name w:val="Нижний колонтитул Знак"/>
    <w:link w:val="740"/>
    <w:uiPriority w:val="99"/>
    <w:rPr>
      <w:lang w:eastAsia="ar-SA"/>
    </w:rPr>
  </w:style>
  <w:style w:type="paragraph" w:styleId="779">
    <w:name w:val="List Paragraph"/>
    <w:basedOn w:val="676"/>
    <w:uiPriority w:val="34"/>
    <w:qFormat/>
    <w:pPr>
      <w:ind w:left="708"/>
    </w:pPr>
  </w:style>
  <w:style w:type="paragraph" w:styleId="780" w:customStyle="1">
    <w:name w:val="Default"/>
    <w:rPr>
      <w:color w:val="000000"/>
      <w:sz w:val="24"/>
      <w:szCs w:val="24"/>
    </w:rPr>
  </w:style>
  <w:style w:type="character" w:styleId="781" w:customStyle="1">
    <w:name w:val="Текст сноски Знак"/>
    <w:link w:val="750"/>
    <w:rPr>
      <w:lang w:eastAsia="ar-SA"/>
    </w:rPr>
  </w:style>
  <w:style w:type="paragraph" w:styleId="782">
    <w:name w:val="Revision"/>
    <w:hidden/>
    <w:uiPriority w:val="99"/>
    <w:semiHidden/>
    <w:rPr>
      <w:lang w:eastAsia="ar-SA"/>
    </w:rPr>
  </w:style>
  <w:style w:type="character" w:styleId="783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AE7-FDB4-41E0-A2F4-11B27F44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>ПАО «Промсвязьбанк»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оформления внутренних нормативных документов</dc:title>
  <dc:subject>оформления внутренних нормативных документов</dc:subject>
  <dc:creator>Бердникова Е.В.</dc:creator>
  <cp:keywords/>
  <cp:revision>17</cp:revision>
  <dcterms:created xsi:type="dcterms:W3CDTF">2020-09-22T09:15:00Z</dcterms:created>
  <dcterms:modified xsi:type="dcterms:W3CDTF">2024-12-18T07:27:18Z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записи">
    <vt:lpwstr>27.08.2009</vt:lpwstr>
  </property>
  <property fmtid="{D5CDD505-2E9C-101B-9397-08002B2CF9AE}" pid="3" name="Номер документа">
    <vt:lpwstr>3.00</vt:lpwstr>
  </property>
</Properties>
</file>